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9F6F4" Type="http://schemas.openxmlformats.org/officeDocument/2006/relationships/officeDocument" Target="/word/document.xml" /><Relationship Id="coreR66B9F6F4" Type="http://schemas.openxmlformats.org/package/2006/relationships/metadata/core-properties" Target="/docProps/core.xml" /><Relationship Id="customR66B9F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http://katalog.nsp.cz/karta_p.aspx?id_jp=30605).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10 zádání modelových situací, která budou obsahovat různé úkoly z oblastí činnosti kurýra (v souladu s uvedenými kompetencemi a jednotlivými kritérii hodnocení), na kterých se budou postupně ověřovat jednotlivé kompetence.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před zahájením zkoušky vylosuje jedno zadání.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kladen důraz na praktické předvedení. Praktické předvedení probíhá simulováním konkrétních situací formou hraných scének.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Úkol je splněn, když uchazeč zvládne modelovou situaci dle předepsaného scénáře s definovaným výsledkem.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