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06FD37" Type="http://schemas.openxmlformats.org/officeDocument/2006/relationships/officeDocument" Target="/word/document.xml" /><Relationship Id="coreRB06FD37" Type="http://schemas.openxmlformats.org/package/2006/relationships/metadata/core-properties" Target="/docProps/core.xml" /><Relationship Id="customRB06FD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Kurýr (kód: 37-040-E)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Kurýr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a příprava jízdního kola, motocyklu a automobilu před jízdou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rozvozu občerstvení po pracovištích a drobných nákupů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Rozvoz a sběr standardních a expresních zásilek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Příjem hotovostních a bezhotovostních plateb zákazníků za poskytnuté služby a zboží včetně vystavování příslušných dokladů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Jednání se zákazníkem při vyzvedávání a předávání zásilek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předpisech a podmínkách pro doručování zásilek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29.06.2015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Kurýr, 20.8.2026 20:53:21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http://katalog.nsp.cz/karta_p.aspx?id_jp=30605).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10 zádání modelových situací, která budou obsahovat různé úkoly z oblastí činnosti kurýra (v souladu s uvedenými kompetencemi a jednotlivými kritérii hodnocení), na kterých se budou postupně ověřovat jednotlivé kompetence.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před zahájením zkoušky vylosuje jedno zadání.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kladen důraz na praktické předvedení. Praktické předvedení probíhá simulováním konkrétních situací formou hraných scének.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Úkol je splněn, když uchazeč zvládne modelovou situaci dle předepsaného scénáře s definovaným výsledkem.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Kurýr, 20.8.2026 20:53:21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Budějovicích, Katedra dopravy a logistiky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Kurýr, 20.8.2026 20:53:21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