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5CB20" Type="http://schemas.openxmlformats.org/officeDocument/2006/relationships/officeDocument" Target="/word/document.xml" /><Relationship Id="coreR4685CB20" Type="http://schemas.openxmlformats.org/package/2006/relationships/metadata/core-properties" Target="/docProps/core.xml" /><Relationship Id="customR4685CB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obilovin a jejich nároků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u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řídících a organizačních dovedností nutných pro zajištění pěstování obilovin v zemědělském podniku. Podklady pro ověřování jednotlivých kompetencí budou brány z konkrétního podniku nebo vytvořeny pro vzorový podnik. Na zkoušku je třeba zajistit minimálně 4 vzorky semen obilovin, minimálně 4 rostliny obilovin, minimálně 10 druhů plevelů, a minimálně 10 vzorků napadených rostlin chorobami a škůdci, případně jejich obrazovou dokumentaci.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"Charakteristika obilovin a jejich nároků na půdní a povětrnostní podmínky" bude kritérium b) ověřeno s využitím vzorků, fotografií a případně i v porostu.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výživy a hnojení s ohledem na stanoviště, průběh vegetace, růst a vývoj obilovin" bude k dispozici vzorový rozbor půdy a Rámcová metodika výživy rostlin a hnojení.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"Diagnostika škodlivých činitelů v obilovinách a ošetřování proti nim" bude k prověření kritéria c) k dispozici seznam přípravků na ochranu rostlin platný pro aktuální rok.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Bystřice u Benešova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