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7F1D5" Type="http://schemas.openxmlformats.org/officeDocument/2006/relationships/officeDocument" Target="/word/document.xml" /><Relationship Id="coreR5F57F1D5" Type="http://schemas.openxmlformats.org/package/2006/relationships/metadata/core-properties" Target="/docProps/core.xml" /><Relationship Id="customR5F57F1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produktů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estetická úprava studených pokrmů pro slavnostní příležitosti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20.10.2026 10:52:02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i na výsledek.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u kompetence Příprava a estetická úprava studených pokrmů pro slavnostní příležitosti u kritéria Navrhnout vhodné studené pokrmy pro danou příležitost, zvolit vhodné suroviny a u kritéria Popsat technologický postup přípravy uchazeč vypracuje úkol, který mu nejméně dva týdny před konáním zkoušky písemně zadá autorizovaná osoba/autorizovaný zástupce. Uchazeč v něm charakterizuje příležitost, při níž se uplatňují výrobky studené kuchyně, uvede alespoň 5 výrobků studené kuchyně, které charakterizuje, popíše jejich technologický postup a způsob estetické úpravy pro podávání. Jeden z pokrmů si uchazeč předem vybere a u zkoušky připraví.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uchazeči zadá další dva pokrmy studené kuchyně, které u zkoušky připraví. Počet porcí nebo výrobků určí autorizovaná osoba / autorizovaný zástupce. Doporučený počet porcí je 10. 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20.10.2026 10:52:02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20.10.2026 10:52:02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