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E66" Type="http://schemas.openxmlformats.org/officeDocument/2006/relationships/officeDocument" Target="/word/document.xml" /><Relationship Id="coreR5D6E66" Type="http://schemas.openxmlformats.org/package/2006/relationships/metadata/core-properties" Target="/docProps/core.xml" /><Relationship Id="customR5D6E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 umělecká rytkyně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pro tisk z hloubky, z výšky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rytec / umělecká rytkyně, 31.7.2026 12:56:22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 umělecká rytkyně, 31.7.2026 12:56:22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předvést základní pracovní úkony na obráběcích strojích (soustruh, frézka, bruska, vrtačka) a základy bezpečnosti práce na daných strojích</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Zhotovování rytin pro tisk z hloubky, z výšky a reliéfních rytin</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Uvést příklady ostatních druhů rytin a jejich použití</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340" w:hRule="exact" w:wrap="none" w:vAnchor="page" w:hAnchor="margin" w:x="28" w:y="10259"/>
        <w:rPr>
          <w:rStyle w:val="C18"/>
          <w:rtl w:val="0"/>
        </w:rPr>
      </w:pPr>
      <w:r>
        <w:rPr>
          <w:rStyle w:val="C18"/>
          <w:rtl w:val="0"/>
        </w:rPr>
        <w:t>Povrchové úpravy uměleckořemeslných rytých výrobků</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Popsat techniky a technologické postupy povrchových úprav kovů</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Ústní ověření</w:t>
      </w:r>
    </w:p>
    <w:p>
      <w:pPr>
        <w:pStyle w:val="P16"/>
        <w:framePr w:w="6710" w:h="376" w:hRule="exact" w:wrap="none" w:vAnchor="page" w:hAnchor="margin" w:x="45" w:y="11451"/>
        <w:rPr>
          <w:rStyle w:val="C3"/>
          <w:rtl w:val="0"/>
        </w:rPr>
      </w:pPr>
    </w:p>
    <w:p>
      <w:pPr>
        <w:pStyle w:val="P17"/>
        <w:framePr w:w="6658" w:h="249" w:hRule="exact" w:wrap="none" w:vAnchor="page" w:hAnchor="margin" w:x="71" w:y="11507"/>
        <w:rPr>
          <w:rStyle w:val="C13"/>
          <w:rtl w:val="0"/>
        </w:rPr>
      </w:pPr>
      <w:r>
        <w:rPr>
          <w:rStyle w:val="C13"/>
          <w:rtl w:val="0"/>
        </w:rPr>
        <w:t>b) Zvolit, provést a zdůvodnit vhodnou povrchovou úpravu zadaného výrobku</w:t>
      </w:r>
    </w:p>
    <w:p>
      <w:pPr>
        <w:pStyle w:val="P30"/>
        <w:framePr w:w="3921" w:h="376" w:hRule="exact" w:wrap="none" w:vAnchor="page" w:hAnchor="margin" w:x="6800" w:y="11451"/>
        <w:rPr>
          <w:rStyle w:val="C3"/>
          <w:rtl w:val="0"/>
        </w:rPr>
      </w:pPr>
    </w:p>
    <w:p>
      <w:pPr>
        <w:pStyle w:val="P31"/>
        <w:framePr w:w="3839" w:h="249"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Rytí nekovových materiálů</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Uvést nekovové materiály používané v uměleckém rytectví, charakterizovat jejich vlastnosti a použití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a předvést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 umělecká rytkyně, 31.7.2026 12:56:22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formu provedení návrhu rytiny pro všechny druhy rytin: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následujících kritérií autorizovaná osoba připraví: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kovová razítka apod.</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 umělecká rytkyně, 31.7.2026 12:56:22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umělecký rytec a střední vzdělání s maturitní zkouškou v příslušném oboru vzdělání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praktického vyučování nebo odborného výcviku v oblasti uměleckořemeslného rytectví. </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odborných předmětů nebo učitele praktického vyučování nebo odborného výcviku v oblasti uměleckořemeslného rytectví.</w:t>
      </w:r>
    </w:p>
    <w:p>
      <w:pPr>
        <w:keepNext w:val="0"/>
        <w:keepLines w:val="1"/>
        <w:framePr w:w="10766" w:h="85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82-021-H Umělecký rytec / umělecká rytkyně + střední vzdělání s maturitní zkouškou a alespoň 5 let odborné praxe v oblasti uměleckořemeslného rytectví.</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5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Umělecký rytec / umělecká rytkyně, 31.7.2026 12:56:22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různé hrubosti, smirkový papír)</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je zachycen jeden předmět, např. zbraně, nádoby, užitkové předměty, šperky, hodinky, nože</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9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splňovat podmínky BOZP, musí být vybavena lékárničkou a hasicím přístrojem.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osobní ochranné pomůcky a oděv.</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přípravy na zkoušku</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 umělecká rytkyně, 31.7.2026 12:56:22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rytec / umělecká rytkyně, 31.7.2026 12:56:22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61E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F654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B0C9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