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682C6" Type="http://schemas.openxmlformats.org/officeDocument/2006/relationships/officeDocument" Target="/word/document.xml" /><Relationship Id="coreR215682C6" Type="http://schemas.openxmlformats.org/package/2006/relationships/metadata/core-properties" Target="/docProps/core.xml" /><Relationship Id="customR215682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pro tisk z hloubky, z výšky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Umělecký rytec, 30.9.2026 7:38:13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30.9.2026 7:38:13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předvést základní pracovní úkony na obráběcích strojích (soustruh, frézka, bruska, vrtačka) a základy bezpečnosti práce na daných strojích</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Zhotovování rytin pro tisk z hloubky, z výšky a reliéfních rytin</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Uvést příklady ostatních druhů rytin a jejich použití</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Povrchové úpravy uměleckořemeslných rytých výrobků</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Popsat techniky a technologické postupy povrchových úprav kovů</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Zvolit, provést a zdůvodnit vhodnou povrchovou úpravu zadaného výrobku</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Rytí nekovových materiálů</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Uvést nekovové materiály používané v uměleckém rytectví, charakterizovat jejich vlastnosti a použití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a předvést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30.9.2026 7:38:13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formu provedení návrhu rytiny pro všechny druhy rytin: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následujících kritérií autorizovaná osoba připraví: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kovová razítka apod.</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30.9.2026 7:38:13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umělecký rytec a střední vzdělání s maturitní zkouškou v příslušném oboru vzdělání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odborných předmětů nebo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82-021-H Umělecký rytec + střední vzdělání s maturitní zkouškou a alespoň 5 let odborné praxe v oblasti uměleckořemeslného rytectví.</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Umělecký rytec, 30.9.2026 7:38:13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různé hrubosti, smirkový papír)</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je zachycen jeden předmět, např. zbraně, nádoby, užitkové předměty, šperky, hodinky, nože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splňovat podmínky BOZP, musí být vybavena lékárničkou a hasicím přístrojem.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osobní ochranné pomůcky a oděv.</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přípravy na zkoušku</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30.9.2026 7:38:13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rytec, 30.9.2026 7:38:13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3204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11E2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412B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