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46B421" Type="http://schemas.openxmlformats.org/officeDocument/2006/relationships/officeDocument" Target="/word/document.xml" /><Relationship Id="coreR2946B421" Type="http://schemas.openxmlformats.org/package/2006/relationships/metadata/core-properties" Target="/docProps/core.xml" /><Relationship Id="customR2946B4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5:41:43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5:41:43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5:41:43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5:41:43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5:41:43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5:41:43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 samostatná technička scénického osvětlení a minimálně 5 let praxe po jejím složení na pozici samostatného technika scénického osvětlení, odpovídající aktuálnímu obsahu příslušné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v rozsahu § 6 (elektrotechnik), nařízení vlády č. 194/2022 Sb. o požadavcích na odbornou způsobilost k výkonu činností na elektrickém zařízení a na odbornou způsobilost v elektrotechnice.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5:41:43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5:41:43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5:41:43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161B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2827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EC79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