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9CEF4" Type="http://schemas.openxmlformats.org/officeDocument/2006/relationships/officeDocument" Target="/word/document.xml" /><Relationship Id="coreRA39CEF4" Type="http://schemas.openxmlformats.org/package/2006/relationships/metadata/core-properties" Target="/docProps/core.xml" /><Relationship Id="customRA39CE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Samostatný technik / samostatná technička scénického osvětlení, 20.8.2026 21:04:47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21:04:47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21:04:47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21:04:47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21:04:47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20.8.2026 21:04:47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 samostatná technička scénického osvětlení a minimálně 5 let praxe po jejím složení na pozici samostatného technika scénického osvětlení,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v rozsahu § 6 (elektrotechnik), nařízení vlády č. 194/2022 Sb. o požadavcích na odbornou způsobilost k výkonu činností na elektrickém zařízení a na odbornou způsobilost v elektrotechnice.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scénického osvětlení, 20.8.2026 21:04:47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 samostatná technička scénického osvětlení, 20.8.2026 21:04:47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20.8.2026 21:04:47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4023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0382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A436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