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CEF32E" Type="http://schemas.openxmlformats.org/officeDocument/2006/relationships/officeDocument" Target="/word/document.xml" /><Relationship Id="coreR71CEF32E" Type="http://schemas.openxmlformats.org/package/2006/relationships/metadata/core-properties" Target="/docProps/core.xml" /><Relationship Id="customR71CEF3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Firemní recepční (kód: 63-016-M)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Firemní 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administrativy firemní recepce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Osobní komunikace s klienty a obchodními partnery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po telefonu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kancelářské techniky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Přijímání a ohlašování návštěv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písemností v určeném úseku nebo v celé organizaci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22.10.2026 8:29:19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formou praktického předvedení musí autorizovaná osoba použít formu modelové situace. Autorizovaná osoba musí mít připraven soubor čítající minimálně 10 modelových situací. Během jedné modelové situace lze ověřit jedno i více hodnoticích kritérií. Jedna modelová situace může ověřovat více kritérií z různých kompetencí. Autorizovaná osoba musí ověřit všechna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22.10.2026 8:29:19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LeasePlan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PPF banka,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Komerční banka,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Legendor,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22.10.2026 8:29:19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