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6A750" Type="http://schemas.openxmlformats.org/officeDocument/2006/relationships/officeDocument" Target="/word/document.xml" /><Relationship Id="coreR1EA6A750" Type="http://schemas.openxmlformats.org/package/2006/relationships/metadata/core-properties" Target="/docProps/core.xml" /><Relationship Id="customR1EA6A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(vrchový, podšívkový, kapsový a výztužný materiál v metráži).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„Oddělování jednotlivých dílů a součástí oděvů v průmyslové výrobě oděvů“ volí uchazeč v kritériu c) způsob oddělování v závislosti na strojním vybavení autorizované osoby. Ověřování odborné kompetence „Příprava materiálu a vrstev materiálu pro oddělování v průmyslové výrobě oděvů“ a kompetence „Provádění technického dozoru nad stavem strojů a zařízení technologického úseku střihárny a jejich obsluhování“ může uchazeč splnit odděleně, tzn. že tato odborná kompetence nemusí být ověřována na zhotovovaném výrobku, ale může být ověřována na jiném oděvním materiálu.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