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398A4" Type="http://schemas.openxmlformats.org/officeDocument/2006/relationships/officeDocument" Target="/word/document.xml" /><Relationship Id="coreR17B398A4" Type="http://schemas.openxmlformats.org/package/2006/relationships/metadata/core-properties" Target="/docProps/core.xml" /><Relationship Id="customR17B39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(vrchový, podšívkový, kapsový a výztužný materiál v metráži).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„Oddělování jednotlivých dílů a součástí oděvů v průmyslové výrobě oděvů“ volí uchazeč v kritériu c) způsob oddělování v závislosti na strojním vybavení autorizované osoby. Ověřování odborné kompetence „Příprava materiálu a vrstev materiálu pro oddělování v průmyslové výrobě oděvů“ a kompetence „Provádění technického dozoru nad stavem strojů a zařízení technologického úseku střihárny a jejich obsluhování“ může uchazeč splnit odděleně, tzn. že tato odborná kompetence nemusí být ověřována na zhotovovaném výrobku, ale může být ověřována na jiném oděvním 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