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4DDF1" Type="http://schemas.openxmlformats.org/officeDocument/2006/relationships/officeDocument" Target="/word/document.xml" /><Relationship Id="coreR7C34DDF1" Type="http://schemas.openxmlformats.org/package/2006/relationships/metadata/core-properties" Target="/docProps/core.xml" /><Relationship Id="customR7C34D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materiálů, polotovarů a výrobků v oděvní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kontrol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metod kontroly kvality oděvních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plánů kontroly kvality oděvních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oděvní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20.10.2026 6:35:55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řešit modelové situace pro konkrétní oděvní materiál nebo oděvní výrobek nebo pro konkrétní úsek oděvní výroby a kontroly kvality (provést vstupní kontrolu materiálu a výstupní kontrolu výrobku, včetně provedení kvalitativních zkoušek a vypracování protokolů, provést mezioperační kontrolu polotovaru na vybraném pracovišti včetně předvedení kontroly dodržování technologické kázně na modelových situacích, pro každou kontrolu navrhnout plán a vhodnou metodu, modelovat způsob řešení reklamace). Pro řešení modelové situace si uchazeč zvolí oděvní výrobek z nabídky autorizované osoby, která je blíže specifikována v kap. Nezbytné materiální a technické předpoklady pro provedení zkoušky.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z provozu oděvní výroby (minimálně jednu pro každou ověřovanou odbornou kompetenci), nabídne různé druhy oděvních výrobků (na kterých budou odborné kompetence ověřovány) a zpracuje seznam strojového vybavení (strojů a zařízení, které jsou k dispozici a na nichž lze zhotovovat nabízené výrobky) a umožní uchazeči se s tímto seznámit v předstihu (minimálně 1 týden) před zkouškou.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nebo laboratoře, tak v prostředí reálného provozu v oděvní výrobě (především při simulování činností mezioperační kontroly a kontroly dodržování technologické kázně). Jednotlivá kritéria hodnocení se ověřují uvedenými způsoby ověření a zaměřují se jak na výsledek vykonávané činnosti, tak na způsob předvedení činnosti.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20.10.2026 6:35:55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technik/technička kvality, 20.10.2026 6:35:55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