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A3EE6" Type="http://schemas.openxmlformats.org/officeDocument/2006/relationships/officeDocument" Target="/word/document.xml" /><Relationship Id="coreR580A3EE6" Type="http://schemas.openxmlformats.org/package/2006/relationships/metadata/core-properties" Target="/docProps/core.xml" /><Relationship Id="customR580A3E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Stavbyvedoucí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čtení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ověření s ústním vysvětlením</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 s písemnou přípravou</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Stručně popsat základní legislativní dokumenty pro výstavbu a bezpečnost práce a zvlášť pro silnoproudou elektrotechniku (zák. 183/2006 Sb., o územním plánování a stavebním řádu v platném znění, vyhl. 499/2006 sb. Dokumentaci staveb v platném znění, zák. 309/2006 o zajištění dalších podmínek bezpečnosti a ochrany zdraví při  v platném znění, zák. 22/1997 o technických požadavcích na výrobky, zák. 458/2000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 s písemnou přípravou</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Orientace v technické dokumentaci a normách, čtení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znát a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 s písemnou přípravou</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 s písemnou přípravou</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s ústním vysvětlením</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Charakterizovat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s ústním zdůvodněním</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Písemné ověření s ústním zdůvodněním</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s ústním vysvětlením</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jej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Písemné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a ústní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 s ústním zdůvodněním</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 s ústním zdůvodněním</w:t>
      </w:r>
    </w:p>
    <w:p>
      <w:pPr>
        <w:pStyle w:val="P32"/>
        <w:framePr w:w="10710" w:h="248" w:hRule="exact" w:wrap="none" w:vAnchor="page" w:hAnchor="margin" w:x="28" w:y="11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u soupisu materiálů, předloženého autorizovanou osobou, jejich nebezpečné vlastností jako odpadů (příloha č. 2 zák. 185/2001 Sb., o odpadech v platném znění) s ohledem dopadu na životní prostředí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u demontovaného materiálu ze seznamu předloženého autorizovanou osobou (kabely, měděná a AlFe lana, konzolovina, pojistky, transformátory, kondenzátory, sloupy, patky) způsob jeho likvidace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komu může být předán odpad / nebezpečný odpad. Jaké doklady musí daná osoba doložit</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s ústním vysvětlením</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Písemné a ústní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c) Uvést případy, kdy musí být stanoven koordinátor BOZP (dle zákona č. 309/2006 Sb. v platném znění) a vyjmenovat jeho základní povinnosti</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 s písemnou přípravou</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 s písemnou přípravou</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Písemné ověření s ústním zdůvodněním</w:t>
      </w:r>
    </w:p>
    <w:p>
      <w:pPr>
        <w:pStyle w:val="P12"/>
        <w:framePr w:w="6710" w:h="831" w:hRule="exact" w:wrap="none" w:vAnchor="page" w:hAnchor="margin" w:x="45" w:y="11955"/>
        <w:rPr>
          <w:rStyle w:val="C3"/>
          <w:rtl w:val="0"/>
        </w:rPr>
      </w:pPr>
    </w:p>
    <w:p>
      <w:pPr>
        <w:pStyle w:val="P13"/>
        <w:framePr w:w="6658" w:h="704" w:hRule="exact" w:wrap="none" w:vAnchor="page" w:hAnchor="margin" w:x="71" w:y="12011"/>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11955"/>
        <w:rPr>
          <w:rStyle w:val="C3"/>
          <w:rtl w:val="0"/>
        </w:rPr>
      </w:pPr>
    </w:p>
    <w:p>
      <w:pPr>
        <w:pStyle w:val="P29"/>
        <w:framePr w:w="3839" w:h="704" w:hRule="exact" w:wrap="none" w:vAnchor="page" w:hAnchor="margin" w:x="6856" w:y="12011"/>
        <w:rPr>
          <w:rStyle w:val="C21"/>
          <w:rtl w:val="0"/>
        </w:rPr>
      </w:pPr>
      <w:r>
        <w:rPr>
          <w:rStyle w:val="C21"/>
          <w:rtl w:val="0"/>
        </w:rPr>
        <w:t>Písemné ověření s ústním zdůvodněním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a stavebního dozoru na energetických pracovištích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stavební dozor ve smyslu § 2 odst. 2 písm. b) zák. 183/2006 Sb.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základí úkony při provádění technického a stavebního dozoru na pracovištích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s písemnou přípravou</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staveb v energetice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pojem GIS u technické infrastruktury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prvky technické evidence distribučních společností ve vztahu k dokumentaci skutečného provedení staveb v energetice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ověření s ústním zdůvodněním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Zpracování podkladů pro cenové kalkulace staveb v energetice</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zdůvodněním</w:t>
      </w:r>
    </w:p>
    <w:p>
      <w:pPr>
        <w:pStyle w:val="P16"/>
        <w:framePr w:w="6710" w:h="831" w:hRule="exact" w:wrap="none" w:vAnchor="page" w:hAnchor="margin" w:x="45" w:y="9109"/>
        <w:rPr>
          <w:rStyle w:val="C3"/>
          <w:rtl w:val="0"/>
        </w:rPr>
      </w:pPr>
    </w:p>
    <w:p>
      <w:pPr>
        <w:pStyle w:val="P17"/>
        <w:framePr w:w="6658" w:h="704" w:hRule="exact" w:wrap="none" w:vAnchor="page" w:hAnchor="margin" w:x="71" w:y="9165"/>
        <w:rPr>
          <w:rStyle w:val="C13"/>
          <w:rtl w:val="0"/>
        </w:rPr>
      </w:pPr>
      <w:r>
        <w:rPr>
          <w:rStyle w:val="C13"/>
          <w:rtl w:val="0"/>
        </w:rPr>
        <w:t xml:space="preserve">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9109"/>
        <w:rPr>
          <w:rStyle w:val="C3"/>
          <w:rtl w:val="0"/>
        </w:rPr>
      </w:pPr>
    </w:p>
    <w:p>
      <w:pPr>
        <w:pStyle w:val="P31"/>
        <w:framePr w:w="3839" w:h="704" w:hRule="exact" w:wrap="none" w:vAnchor="page" w:hAnchor="margin" w:x="6856" w:y="9165"/>
        <w:rPr>
          <w:rStyle w:val="C22"/>
          <w:rtl w:val="0"/>
        </w:rPr>
      </w:pPr>
      <w:r>
        <w:rPr>
          <w:rStyle w:val="C22"/>
          <w:rtl w:val="0"/>
        </w:rPr>
        <w:t>Písemné ověření s ústním zdůvodněním</w:t>
      </w:r>
    </w:p>
    <w:p>
      <w:pPr>
        <w:pStyle w:val="P12"/>
        <w:framePr w:w="6710" w:h="1504" w:hRule="exact" w:wrap="none" w:vAnchor="page" w:hAnchor="margin" w:x="45" w:y="9940"/>
        <w:rPr>
          <w:rStyle w:val="C3"/>
          <w:rtl w:val="0"/>
        </w:rPr>
      </w:pPr>
    </w:p>
    <w:p>
      <w:pPr>
        <w:pStyle w:val="P13"/>
        <w:framePr w:w="6658" w:h="1377" w:hRule="exact" w:wrap="none" w:vAnchor="page" w:hAnchor="margin" w:x="71" w:y="9996"/>
        <w:rPr>
          <w:rStyle w:val="C11"/>
          <w:rtl w:val="0"/>
        </w:rPr>
      </w:pPr>
      <w:r>
        <w:rPr>
          <w:rStyle w:val="C11"/>
          <w:rtl w:val="0"/>
        </w:rPr>
        <w:t>c) V předloženém výkazu výměr charakterizovat kapitoly (hlavy) souhrnného rozpočtu a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9940"/>
        <w:rPr>
          <w:rStyle w:val="C3"/>
          <w:rtl w:val="0"/>
        </w:rPr>
      </w:pPr>
    </w:p>
    <w:p>
      <w:pPr>
        <w:pStyle w:val="P29"/>
        <w:framePr w:w="3839" w:h="1377" w:hRule="exact" w:wrap="none" w:vAnchor="page" w:hAnchor="margin" w:x="6856" w:y="9996"/>
        <w:rPr>
          <w:rStyle w:val="C21"/>
          <w:rtl w:val="0"/>
        </w:rPr>
      </w:pPr>
      <w:r>
        <w:rPr>
          <w:rStyle w:val="C21"/>
          <w:rtl w:val="0"/>
        </w:rPr>
        <w:t>Praktické předvedení a ústní zdůvodnění</w:t>
      </w:r>
    </w:p>
    <w:p>
      <w:pPr>
        <w:pStyle w:val="P16"/>
        <w:framePr w:w="6710" w:h="607" w:hRule="exact" w:wrap="none" w:vAnchor="page" w:hAnchor="margin" w:x="45" w:y="11444"/>
        <w:rPr>
          <w:rStyle w:val="C3"/>
          <w:rtl w:val="0"/>
        </w:rPr>
      </w:pPr>
    </w:p>
    <w:p>
      <w:pPr>
        <w:pStyle w:val="P17"/>
        <w:framePr w:w="6658" w:h="480" w:hRule="exact" w:wrap="none" w:vAnchor="page" w:hAnchor="margin" w:x="71" w:y="11500"/>
        <w:rPr>
          <w:rStyle w:val="C13"/>
          <w:rtl w:val="0"/>
        </w:rPr>
      </w:pPr>
      <w:r>
        <w:rPr>
          <w:rStyle w:val="C13"/>
          <w:rtl w:val="0"/>
        </w:rPr>
        <w:t>d) Stručně popsat uchazečem používaný program pro tvorbu výkazu výměr – rozpočtu a pro cenové kalkulace staveb</w:t>
      </w:r>
    </w:p>
    <w:p>
      <w:pPr>
        <w:pStyle w:val="P30"/>
        <w:framePr w:w="3921" w:h="607" w:hRule="exact" w:wrap="none" w:vAnchor="page" w:hAnchor="margin" w:x="6800" w:y="11444"/>
        <w:rPr>
          <w:rStyle w:val="C3"/>
          <w:rtl w:val="0"/>
        </w:rPr>
      </w:pPr>
    </w:p>
    <w:p>
      <w:pPr>
        <w:pStyle w:val="P31"/>
        <w:framePr w:w="3839" w:h="480" w:hRule="exact" w:wrap="none" w:vAnchor="page" w:hAnchor="margin" w:x="6856" w:y="11500"/>
        <w:rPr>
          <w:rStyle w:val="C22"/>
          <w:rtl w:val="0"/>
        </w:rPr>
      </w:pPr>
      <w:r>
        <w:rPr>
          <w:rStyle w:val="C22"/>
          <w:rtl w:val="0"/>
        </w:rPr>
        <w:t>Ústní ověření s písemnou přípravou</w:t>
      </w:r>
    </w:p>
    <w:p>
      <w:pPr>
        <w:pStyle w:val="P32"/>
        <w:framePr w:w="10710" w:h="248" w:hRule="exact" w:wrap="none" w:vAnchor="page" w:hAnchor="margin" w:x="28" w:y="12164"/>
        <w:rPr>
          <w:rStyle w:val="C23"/>
          <w:rtl w:val="0"/>
        </w:rPr>
      </w:pPr>
      <w:r>
        <w:rPr>
          <w:rStyle w:val="C23"/>
          <w:rtl w:val="0"/>
        </w:rPr>
        <w:t>Je třeba splnit všechna kritéria.</w:t>
      </w:r>
    </w:p>
    <w:p>
      <w:pPr>
        <w:pStyle w:val="P23"/>
        <w:framePr w:w="10710" w:h="547" w:hRule="exact" w:wrap="none" w:vAnchor="page" w:hAnchor="margin" w:x="28" w:y="1260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376" w:hRule="exact" w:wrap="none" w:vAnchor="page" w:hAnchor="margin" w:x="45" w:y="13623"/>
        <w:rPr>
          <w:rStyle w:val="C3"/>
          <w:rtl w:val="0"/>
        </w:rPr>
      </w:pPr>
    </w:p>
    <w:p>
      <w:pPr>
        <w:pStyle w:val="P13"/>
        <w:framePr w:w="6658" w:h="249" w:hRule="exact" w:wrap="none" w:vAnchor="page" w:hAnchor="margin" w:x="71" w:y="13679"/>
        <w:rPr>
          <w:rStyle w:val="C11"/>
          <w:rtl w:val="0"/>
        </w:rPr>
      </w:pPr>
      <w:r>
        <w:rPr>
          <w:rStyle w:val="C11"/>
          <w:rtl w:val="0"/>
        </w:rPr>
        <w:t>a) Charakterizovat pojmy hodinová, úkolová a akordní mzda</w:t>
      </w:r>
    </w:p>
    <w:p>
      <w:pPr>
        <w:pStyle w:val="P28"/>
        <w:framePr w:w="3921" w:h="376" w:hRule="exact" w:wrap="none" w:vAnchor="page" w:hAnchor="margin" w:x="6800" w:y="13623"/>
        <w:rPr>
          <w:rStyle w:val="C3"/>
          <w:rtl w:val="0"/>
        </w:rPr>
      </w:pPr>
    </w:p>
    <w:p>
      <w:pPr>
        <w:pStyle w:val="P29"/>
        <w:framePr w:w="3839" w:h="249" w:hRule="exact" w:wrap="none" w:vAnchor="page" w:hAnchor="margin" w:x="6856" w:y="13679"/>
        <w:rPr>
          <w:rStyle w:val="C21"/>
          <w:rtl w:val="0"/>
        </w:rPr>
      </w:pPr>
      <w:r>
        <w:rPr>
          <w:rStyle w:val="C21"/>
          <w:rtl w:val="0"/>
        </w:rPr>
        <w:t>Písemné a ústní ověření</w:t>
      </w:r>
    </w:p>
    <w:p>
      <w:pPr>
        <w:pStyle w:val="P16"/>
        <w:framePr w:w="6710" w:h="607" w:hRule="exact" w:wrap="none" w:vAnchor="page" w:hAnchor="margin" w:x="45" w:y="13999"/>
        <w:rPr>
          <w:rStyle w:val="C3"/>
          <w:rtl w:val="0"/>
        </w:rPr>
      </w:pPr>
    </w:p>
    <w:p>
      <w:pPr>
        <w:pStyle w:val="P17"/>
        <w:framePr w:w="6658" w:h="480" w:hRule="exact" w:wrap="none" w:vAnchor="page" w:hAnchor="margin" w:x="71" w:y="1405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13999"/>
        <w:rPr>
          <w:rStyle w:val="C3"/>
          <w:rtl w:val="0"/>
        </w:rPr>
      </w:pPr>
    </w:p>
    <w:p>
      <w:pPr>
        <w:pStyle w:val="P31"/>
        <w:framePr w:w="3839" w:h="480"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47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řešení a postup v případě technologických problémů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řešení a postup v případě logistických problémů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 řešení a postup v případě problémů kvality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že pro výkon povolání je třeba splňovat podmínky podle vyhlášky č. 50/1978 Sb., v platném znění § 7 nebo § 8 o odborné způsobilosti v elektrotechnice.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 V nebo 5 let ve funkci učitele odborných předmětů elektro, z toho minimálně jeden rok v období posledních dvou let před podáním žádosti o udělení autorizace a současně musí splňovat odbornou způsobilost v elektrotechnice dle vyhlášky č. 50/1978 Sb., min. § 6.</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bezpečnosti a ochrany zdraví při práci (BOZP)</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přípravy na zkoušku</w:t>
      </w:r>
    </w:p>
    <w:p>
      <w:pPr>
        <w:keepNext w:val="0"/>
        <w:keepLines w:val="0"/>
        <w:framePr w:w="10766" w:h="103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pro vykonání zkoušky</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31.7.2026 21:04:32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CBD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B1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8D71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BE4C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