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0D7A2" Type="http://schemas.openxmlformats.org/officeDocument/2006/relationships/officeDocument" Target="/word/document.xml" /><Relationship Id="coreR7670D7A2" Type="http://schemas.openxmlformats.org/package/2006/relationships/metadata/core-properties" Target="/docProps/core.xml" /><Relationship Id="customR7670D7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Kontrola zásilek po vykartování za využití rentgenu, kritérium b) se děje prostřednictvím simulace procesu zpracování celkem 5 fiktivních poštovních zásilek obsahujících různé typy zboží, u kterých uchazeč za použití rentgenového zařízení rozhodne o dalším směřování zásilek.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Hodnocení obsahu zásilek vzhledem k bezpečnostním opatřením, zákazům a omezením (h26.D.1017) bod c) předložit uchazeči k řešení náhodně vybraný konkrétní typ nepravidelnosti v obsahu zásilky (padělky, FYTO, CITES, léky, zbraně apod.), se kterými se provozní deklarant při své činnosti setkává.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