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EB139" Type="http://schemas.openxmlformats.org/officeDocument/2006/relationships/officeDocument" Target="/word/document.xml" /><Relationship Id="coreR5E9EB139" Type="http://schemas.openxmlformats.org/package/2006/relationships/metadata/core-properties" Target="/docProps/core.xml" /><Relationship Id="customR5E9EB1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recyklačních zařízení (kód: 28-053-H)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recyklačních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provozních předpisech a normách technologických zařízení pro recyklaci odpadů a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Nastavení provozních parametrů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a měření provozních parametrů technologických zařízení pro recyklaci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závad a poruch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údržby a drobných oprav zařízení pro recyklaci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Odběr a dokumentace vzorků výstupních produktů z technologických zařízení pro recyklaci odpadů a druhotných surovin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Třídění odpadů a druhotných surovin při strojním zpracování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2.10.2026 4:31:12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návody a předpisy v reálných podmínkách, a to z hlediska bezpečnosti práce, kvality roztřídění druhotných surovin a nakládání s nebezpečnými odpady. Při vizuálním hodnocení směsi odpadů pro zpracování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 a následné nastavení strojních parametrů.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oddělování a třídění surovin bude uchazeč postupovat podle požadavku na konečnou kvalitu výstupu ze zpracování a svůj postup zdůvodní.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2.10.2026 4:31:12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2.10.2026 4:31:12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