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E0C832" Type="http://schemas.openxmlformats.org/officeDocument/2006/relationships/officeDocument" Target="/word/document.xml" /><Relationship Id="coreR19E0C832" Type="http://schemas.openxmlformats.org/package/2006/relationships/metadata/core-properties" Target="/docProps/core.xml" /><Relationship Id="customR19E0C8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referent/referentka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 do: 28.02.2023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2.10.2026 3:50:26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81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https://www.nsp.cz/jednotka-prace/pracovnik-odbytu#zdravotni-zpusobilost).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důvodu možnosti vykonávání zkoušky i v prostorách se zvýšenými hygienickými či jinými požadavky předloží uchazeč zdravotní průkaz.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uchazeč obdrží podklady, materiály a data vypovídající o ekonomické činnosti podniku, která jsou zaměřena na obraty (tržby) zboží a četnost jednotlivých objednávek. Uchazeč u zkoušky sestaví v tabulkovém procesoru celkový souhrn velikosti prodejů za dané časové období a jednotlivé obraty rozčlení podle identifikačních údajů odběratelů (např. podle objednávkového čísla odběratele). Ze získaných dat zpracuje grafické výstupy s využitím koláčových, spojnicových a sloupcových grafů. Vyhodnotí ekonomiku společnosti a porovná jednotlivé ukazatele s minulými roky. Popíše vývoj počtu zákazníků a výše tržeb za uvedené časové období a stanoví vysoce obrátkové zboží a nízkoobrátkové zboží (poměr 80/20).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2.10.2026 3:50:26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s.r.o.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2.10.2026 3:50:26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