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8D15AC" Type="http://schemas.openxmlformats.org/officeDocument/2006/relationships/officeDocument" Target="/word/document.xml" /><Relationship Id="coreR1C8D15AC" Type="http://schemas.openxmlformats.org/package/2006/relationships/metadata/core-properties" Target="/docProps/core.xml" /><Relationship Id="customR1C8D15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památkového objektu (kód: 82-018-M)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normách ve vztahu ke správě památkového objektu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správy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rozpočtu pro provoz a údržbu památkového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Správa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uzavírání smluv v oblasti nákupu, pronájmu, údržby a správy majetku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problémů souvisejících s péčí o památkové objekty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památkového objektu, 20.10.2026 7:42:22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normách ve vztahu ke správě památkového objektu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zákoníku práce č. 262/2006 Sb., ve znění pozdějších předpisů (objasnit druhy pracovních smluv, uvést možnosti výpovědi vč. termínů dle zákona, dovolená dle zákona)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Orientovat se v novém občanském zákoníku (zákon č. 89/2012 Sb., ve znění pozdějších předpisů, občanský zákoník) a v novém zákoně o obchodních korporacích (zákon č. 90/2012 Sb., ve znění pozdějších předpisů, o obchodních společnostech a družstvech (zákon o obchodních korporacích) (objasnit typy obchodních smluv, základní údaje ve smlouvě, rozdíl mezi občanským zákoníkem a zákonem o obchodních korporacích ve vztahu k obchodním smlouvám, co je to nájemní smlouva, vyjmenovat účastníky nájemní smlouvy)</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Písemné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Orientovat se v zákoně o památkové péči č.20/1987 Sb., ve znění pozdějších předpisů (objasnit základní teze zákona a jeho použití ve vztahu ke správě památkového objektu)</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Písemné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Orientovat se v zákoně o veřejných zakázkách č.137/ 2006 Sb., ve znění pozdějších předpisů, objasnit typy veřejných zakázek dle finančního limitu</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Písemné ověření</w:t>
      </w:r>
    </w:p>
    <w:p>
      <w:pPr>
        <w:pStyle w:val="P12"/>
        <w:framePr w:w="6710" w:h="1055" w:hRule="exact" w:wrap="none" w:vAnchor="page" w:hAnchor="margin" w:x="45" w:y="7749"/>
        <w:rPr>
          <w:rStyle w:val="C3"/>
          <w:rtl w:val="0"/>
        </w:rPr>
      </w:pPr>
    </w:p>
    <w:p>
      <w:pPr>
        <w:pStyle w:val="P13"/>
        <w:framePr w:w="6658" w:h="928" w:hRule="exact" w:wrap="none" w:vAnchor="page" w:hAnchor="margin" w:x="71" w:y="7805"/>
        <w:rPr>
          <w:rStyle w:val="C11"/>
          <w:rtl w:val="0"/>
        </w:rPr>
      </w:pPr>
      <w:r>
        <w:rPr>
          <w:rStyle w:val="C11"/>
          <w:rtl w:val="0"/>
        </w:rPr>
        <w:t>e) Orientovat se v zákoně č. 183/2006 Sb., ve znění pozdějších předpisů, o územním plánování a stavebním řádu (stavební zákon) v aktuálním znění, objasnit postup jednání se stavebním úřadem při celkové nebo částečné rekonstrukci památkového objektu</w:t>
      </w:r>
    </w:p>
    <w:p>
      <w:pPr>
        <w:pStyle w:val="P28"/>
        <w:framePr w:w="3921" w:h="1055" w:hRule="exact" w:wrap="none" w:vAnchor="page" w:hAnchor="margin" w:x="6800" w:y="7749"/>
        <w:rPr>
          <w:rStyle w:val="C3"/>
          <w:rtl w:val="0"/>
        </w:rPr>
      </w:pPr>
    </w:p>
    <w:p>
      <w:pPr>
        <w:pStyle w:val="P29"/>
        <w:framePr w:w="3839" w:h="928" w:hRule="exact" w:wrap="none" w:vAnchor="page" w:hAnchor="margin" w:x="6856" w:y="7805"/>
        <w:rPr>
          <w:rStyle w:val="C21"/>
          <w:rtl w:val="0"/>
        </w:rPr>
      </w:pPr>
      <w:r>
        <w:rPr>
          <w:rStyle w:val="C21"/>
          <w:rtl w:val="0"/>
        </w:rPr>
        <w:t>Písemné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Vedení evidence správy památkového objektu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Zpracovat evidenci majetku v dané místnosti dle předloženého plánu (v tabulkovém procesoru – MS Excel)</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Praktické předvedení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Zpracovat evidenci docházky pracovníků (v tabulkovém procesoru – MS Excel) – za jeden průběžný měsíc</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Praktické předvedení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Zpracovat přehled drobného nákupu, běžný nákup drobného vydání, placeno hotově (v tabulkovém procesoru – MS Excel) – min. 6 položek</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Praktické předvedení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Provést kontrolu majetku dle předložené účetní dokumentace, která obsahuje seznam věcí v dané místnosti podle evidenčních čísel</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Praktické předvedení</w:t>
      </w:r>
    </w:p>
    <w:p>
      <w:pPr>
        <w:pStyle w:val="P32"/>
        <w:framePr w:w="10710" w:h="248" w:hRule="exact" w:wrap="none" w:vAnchor="page" w:hAnchor="margin" w:x="28" w:y="12709"/>
        <w:rPr>
          <w:rStyle w:val="C23"/>
          <w:rtl w:val="0"/>
        </w:rPr>
      </w:pPr>
      <w:r>
        <w:rPr>
          <w:rStyle w:val="C23"/>
          <w:rtl w:val="0"/>
        </w:rPr>
        <w:t>Je třeba splnit všechna kritéria.</w:t>
      </w:r>
    </w:p>
    <w:p>
      <w:pPr>
        <w:pStyle w:val="P23"/>
        <w:framePr w:w="10710" w:h="340" w:hRule="exact" w:wrap="none" w:vAnchor="page" w:hAnchor="margin" w:x="28" w:y="13145"/>
        <w:rPr>
          <w:rStyle w:val="C18"/>
          <w:rtl w:val="0"/>
        </w:rPr>
      </w:pPr>
      <w:r>
        <w:rPr>
          <w:rStyle w:val="C18"/>
          <w:rtl w:val="0"/>
        </w:rPr>
        <w:t>Sestavení rozpočtu pro provoz a údržbu památkového objektu</w:t>
      </w:r>
    </w:p>
    <w:p>
      <w:pPr>
        <w:pStyle w:val="P24"/>
        <w:framePr w:w="6713" w:h="376" w:hRule="exact" w:wrap="none" w:vAnchor="page" w:hAnchor="margin" w:x="45" w:y="13584"/>
        <w:rPr>
          <w:rStyle w:val="C3"/>
          <w:rtl w:val="0"/>
        </w:rPr>
      </w:pPr>
    </w:p>
    <w:p>
      <w:pPr>
        <w:pStyle w:val="P25"/>
        <w:framePr w:w="6661" w:h="249" w:hRule="exact" w:wrap="none" w:vAnchor="page" w:hAnchor="margin" w:x="71" w:y="13655"/>
        <w:rPr>
          <w:rStyle w:val="C19"/>
          <w:rtl w:val="0"/>
        </w:rPr>
      </w:pPr>
      <w:r>
        <w:rPr>
          <w:rStyle w:val="C19"/>
          <w:rtl w:val="0"/>
        </w:rPr>
        <w:t>Kritéria hodnocení</w:t>
      </w:r>
    </w:p>
    <w:p>
      <w:pPr>
        <w:pStyle w:val="P26"/>
        <w:framePr w:w="3918" w:h="376" w:hRule="exact" w:wrap="none" w:vAnchor="page" w:hAnchor="margin" w:x="6803" w:y="13584"/>
        <w:rPr>
          <w:rStyle w:val="C3"/>
          <w:rtl w:val="0"/>
        </w:rPr>
      </w:pPr>
    </w:p>
    <w:p>
      <w:pPr>
        <w:pStyle w:val="P27"/>
        <w:framePr w:w="3836" w:h="249" w:hRule="exact" w:wrap="none" w:vAnchor="page" w:hAnchor="margin" w:x="6859" w:y="13655"/>
        <w:rPr>
          <w:rStyle w:val="C20"/>
          <w:rtl w:val="0"/>
        </w:rPr>
      </w:pPr>
      <w:r>
        <w:rPr>
          <w:rStyle w:val="C20"/>
          <w:rtl w:val="0"/>
        </w:rPr>
        <w:t>Způsoby ověření</w:t>
      </w:r>
    </w:p>
    <w:p>
      <w:pPr>
        <w:pStyle w:val="P12"/>
        <w:framePr w:w="6710" w:h="831" w:hRule="exact" w:wrap="none" w:vAnchor="page" w:hAnchor="margin" w:x="45" w:y="13960"/>
        <w:rPr>
          <w:rStyle w:val="C3"/>
          <w:rtl w:val="0"/>
        </w:rPr>
      </w:pPr>
    </w:p>
    <w:p>
      <w:pPr>
        <w:pStyle w:val="P13"/>
        <w:framePr w:w="6658" w:h="704" w:hRule="exact" w:wrap="none" w:vAnchor="page" w:hAnchor="margin" w:x="71" w:y="14016"/>
        <w:rPr>
          <w:rStyle w:val="C11"/>
          <w:rtl w:val="0"/>
        </w:rPr>
      </w:pPr>
      <w:r>
        <w:rPr>
          <w:rStyle w:val="C11"/>
          <w:rtl w:val="0"/>
        </w:rPr>
        <w:t>a) Sestavit modelový rozpočet režijních nákladů pro provoz (energie, teplo, úklid, mzdy pro 5 zaměstnanců s průměrným platem 15 600 Kč) na jeden kalendářní rok</w:t>
      </w:r>
    </w:p>
    <w:p>
      <w:pPr>
        <w:pStyle w:val="P28"/>
        <w:framePr w:w="3921" w:h="831" w:hRule="exact" w:wrap="none" w:vAnchor="page" w:hAnchor="margin" w:x="6800" w:y="13960"/>
        <w:rPr>
          <w:rStyle w:val="C3"/>
          <w:rtl w:val="0"/>
        </w:rPr>
      </w:pPr>
    </w:p>
    <w:p>
      <w:pPr>
        <w:pStyle w:val="P29"/>
        <w:framePr w:w="3839" w:h="704" w:hRule="exact" w:wrap="none" w:vAnchor="page" w:hAnchor="margin" w:x="6856" w:y="14016"/>
        <w:rPr>
          <w:rStyle w:val="C21"/>
          <w:rtl w:val="0"/>
        </w:rPr>
      </w:pPr>
      <w:r>
        <w:rPr>
          <w:rStyle w:val="C21"/>
          <w:rtl w:val="0"/>
        </w:rPr>
        <w:t>Praktické předvedení</w:t>
      </w:r>
    </w:p>
    <w:p>
      <w:pPr>
        <w:pStyle w:val="P16"/>
        <w:framePr w:w="6710" w:h="607" w:hRule="exact" w:wrap="none" w:vAnchor="page" w:hAnchor="margin" w:x="45" w:y="14791"/>
        <w:rPr>
          <w:rStyle w:val="C3"/>
          <w:rtl w:val="0"/>
        </w:rPr>
      </w:pPr>
    </w:p>
    <w:p>
      <w:pPr>
        <w:pStyle w:val="P17"/>
        <w:framePr w:w="6658" w:h="480" w:hRule="exact" w:wrap="none" w:vAnchor="page" w:hAnchor="margin" w:x="71" w:y="14847"/>
        <w:rPr>
          <w:rStyle w:val="C13"/>
          <w:rtl w:val="0"/>
        </w:rPr>
      </w:pPr>
      <w:r>
        <w:rPr>
          <w:rStyle w:val="C13"/>
          <w:rtl w:val="0"/>
        </w:rPr>
        <w:t>b) Sestavit modelový rozpočet na údržbu objektu na jeden rok (revize, spotřeba materiálu)</w:t>
      </w:r>
    </w:p>
    <w:p>
      <w:pPr>
        <w:pStyle w:val="P30"/>
        <w:framePr w:w="3921" w:h="607" w:hRule="exact" w:wrap="none" w:vAnchor="page" w:hAnchor="margin" w:x="6800" w:y="14791"/>
        <w:rPr>
          <w:rStyle w:val="C3"/>
          <w:rtl w:val="0"/>
        </w:rPr>
      </w:pPr>
    </w:p>
    <w:p>
      <w:pPr>
        <w:pStyle w:val="P31"/>
        <w:framePr w:w="3839" w:h="480" w:hRule="exact" w:wrap="none" w:vAnchor="page" w:hAnchor="margin" w:x="6856" w:y="14847"/>
        <w:rPr>
          <w:rStyle w:val="C22"/>
          <w:rtl w:val="0"/>
        </w:rPr>
      </w:pPr>
      <w:r>
        <w:rPr>
          <w:rStyle w:val="C22"/>
          <w:rtl w:val="0"/>
        </w:rPr>
        <w:t>Praktické předvedení</w:t>
      </w:r>
    </w:p>
    <w:p>
      <w:pPr>
        <w:pStyle w:val="P32"/>
        <w:framePr w:w="10710" w:h="248" w:hRule="exact" w:wrap="none" w:vAnchor="page" w:hAnchor="margin" w:x="28" w:y="15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20.10.2026 7:42:22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ve stavební dokumentaci (vysvětlit pojem výkaz výměr, přečíst předloženou výkresovou dokumentaci, popsat rozvody elektrické energie v technické dokumentaci v části památkového objektu)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Dle předložené fotodokumentace (minimálně 10 fotografií) určit stav objektu, popsat poškození, vysvětlit nutnost opravy konkrétních částí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základní postup pro přípravu opravy včetně stanovení harmonogramu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předběžnou kalkulaci budoucí opravy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Zpracovat modelovou smlouvu na pronájem sálu památkového objektu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Zpracovat modelovou objednávku pro určenou opravu památkového objektu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Zajištění bezpečnosti památkového objektu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Popsat na modelové situaci (povodeň) postup zajištění bezpečnosti a prevence objektu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Popsat zásady bezpečnosti a prevence mimořádné události (požár) z hlediska osob a návštěvníků</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Uvést termíny preventivních prohlídek (revize objektu a technického zařízení dle platné vyhlášky o elektrických zařízeních)</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d) Popsat zásady ochrany objektu proti vandalismu a krádežím</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Ústní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e) Popsat postup při zajištění vhodného klimatu v objektu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Řešení problémů souvisejících s péčí o památkové objekty</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831" w:hRule="exact" w:wrap="none" w:vAnchor="page" w:hAnchor="margin" w:x="45" w:y="13040"/>
        <w:rPr>
          <w:rStyle w:val="C3"/>
          <w:rtl w:val="0"/>
        </w:rPr>
      </w:pPr>
    </w:p>
    <w:p>
      <w:pPr>
        <w:pStyle w:val="P13"/>
        <w:framePr w:w="6658" w:h="704" w:hRule="exact" w:wrap="none" w:vAnchor="page" w:hAnchor="margin" w:x="71" w:y="13096"/>
        <w:rPr>
          <w:rStyle w:val="C11"/>
          <w:rtl w:val="0"/>
        </w:rPr>
      </w:pPr>
      <w:r>
        <w:rPr>
          <w:rStyle w:val="C11"/>
          <w:rtl w:val="0"/>
        </w:rPr>
        <w:t>a) Předvést na modelové situaci související s konáním kulturní akce jednání s příslušnými orgány státní správy (např. zajištění parkování na veřejném prostoru, zajištění prodloužení doby pracovního klidu)</w:t>
      </w:r>
    </w:p>
    <w:p>
      <w:pPr>
        <w:pStyle w:val="P28"/>
        <w:framePr w:w="3921" w:h="831" w:hRule="exact" w:wrap="none" w:vAnchor="page" w:hAnchor="margin" w:x="6800" w:y="13040"/>
        <w:rPr>
          <w:rStyle w:val="C3"/>
          <w:rtl w:val="0"/>
        </w:rPr>
      </w:pPr>
    </w:p>
    <w:p>
      <w:pPr>
        <w:pStyle w:val="P29"/>
        <w:framePr w:w="3839" w:h="704"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b) Řešit modelovou situaci s problémovým návštěvníkem</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20.10.2026 7:42:22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vytvoří pro odbornou způsobilost Orientace v právních normách ve vztahu ke správě památkového objektu písemný test; ke každému kritériu nejméně 5 otázek, celkem nejméně 25 otázek.</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2 autorizované fyzické osoby s autorizací pro příslušnou profesní kvalifikaci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památkového objektu, 20.10.2026 7:42:22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82-018-M Správce/správkyně památkového objektu + 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www.mkcr.cz </w:t>
      </w:r>
    </w:p>
    <w:p>
      <w:pPr>
        <w:pStyle w:val="P33"/>
        <w:framePr w:w="10766" w:h="2778"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(tabulkový procesor a databáze)</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stavební dokumentace a fotodokumentace budovy památkového významu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Správce/správkyně památkového objektu, 20.10.2026 7:42:22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Správce/správkyně památkového objektu, 20.10.2026 7:42:22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památkového objektu, 20.10.2026 7:42:22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DC03B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2309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