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5C665" Type="http://schemas.openxmlformats.org/officeDocument/2006/relationships/officeDocument" Target="/word/document.xml" /><Relationship Id="coreR565C665" Type="http://schemas.openxmlformats.org/package/2006/relationships/metadata/core-properties" Target="/docProps/core.xml" /><Relationship Id="customR565C6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památkového objektu (kód: 82-018-M)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normách ve vztahu ke správě památkového objektu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správy památkového objektu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rozpočtu pro provoz a údržbu památkového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Správa památkového objektu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uzavírání smluv v oblasti nákupu, pronájmu, údržby a správy majetku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Zajištění bezpečnosti památkového objektu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Řešení problémů souvisejících s péčí o památkové objekty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památkového objektu, 30.9.2026 1:44:22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vytvoří pro odbornou způsobilost Orientace v právních normách ve vztahu ke správě památkového objektu písemný test; ke každému kritériu nejméně 5 otázek, celkem nejméně 25 otázek.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památkového objektu, 30.9.2026 1:44:22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Památník národního písemnictví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univerzita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památkového objektu, 30.9.2026 1:44:22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