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28D574" Type="http://schemas.openxmlformats.org/officeDocument/2006/relationships/officeDocument" Target="/word/document.xml" /><Relationship Id="coreR5628D574" Type="http://schemas.openxmlformats.org/package/2006/relationships/metadata/core-properties" Target="/docProps/core.xml" /><Relationship Id="customR5628D5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památkového objektu (kód: 82-018-M)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normách ve vztahu ke správě památkového objektu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správy památkového objektu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rozpočtu pro provoz a údržbu památkového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Správa památkového objektu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uzavírání smluv v oblasti nákupu, pronájmu, údržby a správy majetku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bezpečnosti památkového objektu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Řešení problémů souvisejících s péčí o památkové objekty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památkového objektu, 30.9.2026 4:45:53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vytvoří pro odbornou způsobilost Orientace v právních normách ve vztahu ke správě památkového objektu písemný test; ke každému kritériu nejméně 5 otázek, celkem nejméně 25 otázek.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památkového objektu, 30.9.2026 4:45:53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Památník národního písemnictví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univerzita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památkového objektu, 30.9.2026 4:45:53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