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180B7C" Type="http://schemas.openxmlformats.org/officeDocument/2006/relationships/officeDocument" Target="/word/document.xml" /><Relationship Id="coreR49180B7C" Type="http://schemas.openxmlformats.org/package/2006/relationships/metadata/core-properties" Target="/docProps/core.xml" /><Relationship Id="customR49180B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památkového objektu (kód: 82-018-M)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normách ve vztahu ke správě památkového objektu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správy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rozpočtu pro provoz a údržbu památkového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Správa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uzavírání smluv v oblasti nákupu, pronájmu, údržby a správy majetku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problémů souvisejících s péčí o památkové objekty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30.9.2026 8:37:51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vytvoří pro odbornou způsobilost Orientace v právních normách ve vztahu ke správě památkového objektu písemný test; ke každému kritériu nejméně 5 otázek, celkem nejméně 25 otázek.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30.9.2026 8:37:51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památkového objektu, 30.9.2026 8:37:51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