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1AEC" Type="http://schemas.openxmlformats.org/officeDocument/2006/relationships/officeDocument" Target="/word/document.xml" /><Relationship Id="coreR7CF1AEC" Type="http://schemas.openxmlformats.org/package/2006/relationships/metadata/core-properties" Target="/docProps/core.xml" /><Relationship Id="customR7CF1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provozních a laboratorních prací v oblasti výroby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Uchazeč bude vybaven ochrannými pracovními pomůckami včetně seznámení se s jejich užíváním.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https://www.nsp.cz/jednotka-prace/pomocny-pracovnik-v-chemi#zdravotni-zpusobilost).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zvolí technologický postup či postupy, na jejichž základě bude uchazeč o zkoušku přezkoušen.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v pracovních instrukcích pro obsluhu a řízení technologických procesů v chemické výrobě a v různých odvětvích zpracovatelského průmyslu chemického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autorizovaná osoba zadá informaci, na základě které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předměty a materiály při provádění technických, terénních a laboratorních prací v oblasti chemických látek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autorizovaná osoba vybere chemickou látku, na jejímž základě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Masarykova střední škola chemická,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organických syntéz, Rybitví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