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2A085" Type="http://schemas.openxmlformats.org/officeDocument/2006/relationships/officeDocument" Target="/word/document.xml" /><Relationship Id="coreR1A32A085" Type="http://schemas.openxmlformats.org/package/2006/relationships/metadata/core-properties" Target="/docProps/core.xml" /><Relationship Id="customR1A32A0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provozních a laboratorních prací v oblasti výroby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17:10:57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Uchazeč bude vybaven ochrannými pracovními pomůckami včetně seznámení se s jejich užíváním.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https://www.nsp.cz/jednotka-prace/pomocny-pracovnik-v-chemi#zdravotni-zpusobilost).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zvolí technologický postup či postupy, na jejichž základě bude uchazeč o zkoušku přezkoušen.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v pracovních instrukcích pro obsluhu a řízení technologických procesů v chemické výrobě a v různých odvětvích zpracovatelského průmyslu chemického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autorizovaná osoba zadá informaci, na základě které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předměty a materiály při provádění technických, terénních a laboratorních prací v oblasti chemických látek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autorizovaná osoba vybere chemickou látku, na jejímž základě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17:10:57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Masarykova střední škola chemická,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organických syntéz, Rybitví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17:10:57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