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FC204" Type="http://schemas.openxmlformats.org/officeDocument/2006/relationships/officeDocument" Target="/word/document.xml" /><Relationship Id="coreR25DFC204" Type="http://schemas.openxmlformats.org/package/2006/relationships/metadata/core-properties" Target="/docProps/core.xml" /><Relationship Id="customR25DFC2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modelů a forem v keramické výrobě (kód: 28-056-N)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výrobních technologií při výrobě modelů a forem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3D modelování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2.10.2026 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mít problémy s viděním, znemožňující hodnocení výstupů na monitoru a tiskárně.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"3D modelování v keramické výrobě" u kritérií n), o), p), q) postačuje provedení dílčích operací podle zadání autorizované osoby. Požadavek na provedení dílčích operací je definován z důvodu časové úspory, protože některé textury se skenují až 8 hodin.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tisku na 3D tiskárně půjde o provedení přípravy k tisku a zahájení tisku. Z časových a ekonomických důvodů nebude prováděn celkový tisk modelu nebo části formy.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2.10.2026 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univerzita v Liberci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– Jihokov,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Benedikt, s. r. o.,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Consulting Service,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2.10.2026 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