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E4C1F" Type="http://schemas.openxmlformats.org/officeDocument/2006/relationships/officeDocument" Target="/word/document.xml" /><Relationship Id="coreR1FFE4C1F" Type="http://schemas.openxmlformats.org/package/2006/relationships/metadata/core-properties" Target="/docProps/core.xml" /><Relationship Id="customR1FFE4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výrobu a opravy scénické obuvi, určit tři předložené vzorky kůží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pro antiku, renesanci a rokoko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w:t>
        <w:br w:type="textWrapping"/>
        <w:t>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(šídlo, jehly, kleště,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obuvnické materiály a obuv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scénické a krojové obuvi nebo na výrobu obuvi + střední vzdělání s maturitní zkouškou v příslušném nástavbovém oboru vzdělání a alespoň 5 let odborné praxe v oblasti zhotovování scénické obuvi pro divadelní, televizní nebo filmovou tvorbu nebo pro taneční soubory nebo jiné kulturní subjekty, nebo ve funkci učitele odborného výcviku v oblasti výroby scénické obuvi,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scénické a krojové obuvi nebo obuvnickou technologii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v oblasti obuvnictví,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32-012-H Obuvník scénické obuvi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scénické obuvi pro divadelní, televizní nebo filmovou tvorbu nebo pro taneční soubory nebo jiné kulturní subjekty,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prostorná, přiměřeně temperovaná místnost s možností odvětrání (odsávání), s denním i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Obuvník scénické obuvi, 17.8.2026 20:21:40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8D9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EF53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