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2979D" Type="http://schemas.openxmlformats.org/officeDocument/2006/relationships/officeDocument" Target="/word/document.xml" /><Relationship Id="coreR3482979D" Type="http://schemas.openxmlformats.org/package/2006/relationships/metadata/core-properties" Target="/docProps/core.xml" /><Relationship Id="customR34829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výrobu a opravy scénické obuvi, určit tři předložené vzorky kůží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pro antiku, renesanci a rokoko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w:t>
        <w:br w:type="textWrapping"/>
        <w:t>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(šídlo, jehly, kleště,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obuvnické materiály a obuv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scénické a krojové obuvi nebo na výrobu obuvi + střední vzdělání s maturitní zkouškou v příslušném nástavbovém oboru vzdělání a alespoň 5 let odborné praxe v oblasti zhotovování scénické obuvi pro divadelní, televizní nebo filmovou tvorbu nebo pro taneční soubory nebo jiné kulturní subjekty, nebo ve funkci učitele odborného výcviku v oblasti výroby scénické obuvi,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scénické a krojové obuvi nebo obuvnickou technologii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v oblasti obuvnictví,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32-012-H Obuvník scénické obuvi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scénické obuvi pro divadelní, televizní nebo filmovou tvorbu nebo pro taneční soubory nebo jiné kulturní subjekty,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prostorná, přiměřeně temperovaná místnost s možností odvětrání (odsávání), s denním i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Obuvník scénické obuvi, 7.11.2026 17:57:40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E4D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EBC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