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504FA" Type="http://schemas.openxmlformats.org/officeDocument/2006/relationships/officeDocument" Target="/word/document.xml" /><Relationship Id="coreR140504FA" Type="http://schemas.openxmlformats.org/package/2006/relationships/metadata/core-properties" Target="/docProps/core.xml" /><Relationship Id="customR140504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Koželuh (kód: 32-024-H)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Koželuh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a opracování holiny v koželužské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Činění kožešin a usní včetně přípravy roztoků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kvality usní a kožešin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20.10.2026 9:46:43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http://katalog.nsp.cz/karta_p.aspx?id_jp=37&amp;kod_sm1=30).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v určitém úseku koželužské výroby. Autorizovaná osoba určí druh výrobku a jeho parametry, ke kterému se budou vztahovat zadané úkoly, a to podle zaměření konkrétní kožedělné výroby a místa konání zkoušky.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před zkouškou u kompetencí Činění usní a kožešin včetně přípravy roztoků; Úprava a zpracování usní a kožešin po činění; Posuzování kvality usní a kožešin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zda bude kompetence zaměřena na kožešinový nebo usňový materiál.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Posuzování kvality usní a kožešin, kritérium a), autorizovaná osoba zadá počet vzorků (v minimálním počtu 5 - maximálně 10 vzorků) podle zaměření konkrétní kožedělné výroby a místa konání zkoušky. Při ověřování splnění kritérií založených na formě praktického předvedení je třeba přihlížet především k bezpečnému provádění všech úkolů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20.10.2026 9:46:43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Koželuh, 20.10.2026 9:46:43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