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5B5A9E" Type="http://schemas.openxmlformats.org/officeDocument/2006/relationships/officeDocument" Target="/word/document.xml" /><Relationship Id="coreR535B5A9E" Type="http://schemas.openxmlformats.org/package/2006/relationships/metadata/core-properties" Target="/docProps/core.xml" /><Relationship Id="customR535B5A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Koželuh (kód: 32-024-H)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Koželuh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holiny v koželužské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Činění kožešin a usní včetně přípravy roztoků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zpracování usní a kožešin po činění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kvality usní a kožešin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Koželuh, 30.9.2026 6:42:12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http://katalog.nsp.cz/karta_p.aspx?id_jp=37&amp;kod_sm1=30).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koželužské výroby. Autorizovaná osoba určí druh výrobku a jeho parametry, ke kterému se budou vztahovat zadané úkoly, a to podle zaměření konkrétní kožedělné výroby a místa konání zkoušky.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před zkouškou u kompetencí Činění usní a kožešin včetně přípravy roztoků; Úprava a zpracování usní a kožešin po činění; Posuzování kvality usní a kožešin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zda bude kompetence zaměřena na kožešinový nebo usňový materiál.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Posuzování kvality usní a kožešin, kritérium a), autorizovaná osoba zadá počet vzorků (v minimálním počtu 5 - maximálně 10 vzorků) podle zaměření konkrétní kožedělné výroby a místa konání zkoušky. Při ověřování splnění kritérií založených na formě praktického předvedení je třeba přihlížet především k bezpečnému provádění všech úkolů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Koželuh, 30.9.2026 6:42:12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Koželuh, 30.9.2026 6:42:12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