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DDD9B" Type="http://schemas.openxmlformats.org/officeDocument/2006/relationships/officeDocument" Target="/word/document.xml" /><Relationship Id="coreR677DDD9B" Type="http://schemas.openxmlformats.org/package/2006/relationships/metadata/core-properties" Target="/docProps/core.xml" /><Relationship Id="customR677DD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pracovník řízení a kontroly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http://katalog.nsp.cz/karta_p.aspx?id_jp=6286&amp;kod_sm1=30).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normách a v technických podkladech v kožedělné výrobě, kritérium d), a u odborné kompetence Zjišťování příčin snížené kvality kožedělné výroby a navrhování opatření k dosažení žádoucí kvality, kritérium a), určí autorizovaná osoba druh kožedělného výrobku, ke kterému se budou vztahovat zadané úkoly podle zaměření konkrétní kožedělné výroby a místa konání zkoušky. U odborné kompetence Metodické řízení vstupní, výstupní a mezioperační kontroly v kožedělné výrobě zadá autorizovaná osoba počet vzorků (v minimálním počtu 2 - maximálně 5 vzorků od každého materiálu) podle zaměření konkrétní kožedělné výroby a místa konání zkoušky.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kompetencí: Metodické řízení normalizace, metrologie a zkušebnictví v kožedělné výrobě, kritéria a) a c); Zpracování plánů řízení kvality nových výrobků a procesů v kožedělné výrobě, kritérium b); Kontrola dodržování technologických postupů v kožedělné výrobě, kritérium b).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úkolů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kožené galanterie a obuvi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