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80F3E" Type="http://schemas.openxmlformats.org/officeDocument/2006/relationships/officeDocument" Target="/word/document.xml" /><Relationship Id="coreRDB80F3E" Type="http://schemas.openxmlformats.org/package/2006/relationships/metadata/core-properties" Target="/docProps/core.xml" /><Relationship Id="customRDB80F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kožedělných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a opracování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Činění kožešin včetně přípravy roztoků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zpracování kožešin po činění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jakou pracovní operaci bude uchazeč provádět (výspravu, barvení a následné třídění vydělaných či barvených kožešin, střihání, žehlení, vystřihování a vytrhávání pesíků).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