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3C51" Type="http://schemas.openxmlformats.org/officeDocument/2006/relationships/officeDocument" Target="/word/document.xml" /><Relationship Id="coreR2003C51" Type="http://schemas.openxmlformats.org/package/2006/relationships/metadata/core-properties" Target="/docProps/core.xml" /><Relationship Id="customR2003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a opracování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Činění kožešin včetně přípravy roztoků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zpracování kožešin po činění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jakou pracovní operaci bude uchazeč provádět (výspravu, barvení a následné třídění vydělaných či barvených kožešin, střihání, žehlení, vystřihování a vytrhávání pesíků).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