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E67FFB" Type="http://schemas.openxmlformats.org/officeDocument/2006/relationships/officeDocument" Target="/word/document.xml" /><Relationship Id="coreR3AE67FFB" Type="http://schemas.openxmlformats.org/package/2006/relationships/metadata/core-properties" Target="/docProps/core.xml" /><Relationship Id="customR3AE67F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 automatických závlah (kód: 41-077-M)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projektové dokumentaci závlahových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technologického postupu při realizaci závlahových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Vytyčování komponentů závlahového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závlahových komponentů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komponentů závlahového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servis závlahového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automatických závlah, 30.9.2026 2:42:33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projektové dokumentaci závlahových systémů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volí uchazeč při ověřování kritéria b) vhodnou kombinaci čerpadla, postřikovače, ventilu a ovládací jednotky na základě projektové dokumentace předložené autorizovanou osobou. Vlastní volbu komponentů provede z nabídkových katalogů, které rovněž zajišťuje autorizovaná osoba.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Stanovování technologického postupu při realizaci závlahových systémů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je délka potrubí pro účely zkoušky stanovena na 5 m, včetně montáže 1 ks čerpadla, řídicí jednotky a a příslušenství.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Vytyčování komponentů závlahového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 ověření kritéria e) k dispozici 5 typů čerpadel pro závlahové systémy v zahradnictví. Při ověřování kritéria f) vytyčí uchazeč rozmístění 5 postřikovačů dle projektové dokumentace, kterou zajistí autorizovaná osoba. Při ověřování kritéria g) vytyčí uchazeč pomocí dřevěných kolíků trasy potrubí, umístění ventilových šachet a řídicí jednotky dle projektové dokumentace předložené autorizovanou osobou. Velikost zavlažované plochy 300-400 m2.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Montáž závlahových komponentů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předvede uchazeč při ověřování kritéria a) dovednost spojit 2 ks potrubí závlahového systému a u kritéria b) instalaci 1 ks postřikovače a 1 ks ventilu.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Seřizování komponentů závlahového systému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předvede uchazeč u ověřování kritéria a) instalaci 1 ks trysky k postřikovači včetně nastavení výseče závlahy.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 případě nepříznivého počasí je možné realizovat zkoušku v krytých prostorách, je ale nezbytné odzkoušet všechna kritéria.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automatických závlah, 30.9.2026 2:42:33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Acris zahrady,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Profigrass,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Raining Service,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automatických závlah, 30.9.2026 2:42:33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