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55EC6" Type="http://schemas.openxmlformats.org/officeDocument/2006/relationships/officeDocument" Target="/word/document.xml" /><Relationship Id="coreR6AF55EC6" Type="http://schemas.openxmlformats.org/package/2006/relationships/metadata/core-properties" Target="/docProps/core.xml" /><Relationship Id="customR6AF55E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řídících a organizačních dovedností nezbytných pro zajištění pěstování olejnin v zemědělském podniku. Podklady pro ověření kompetencí budou brány z konkrétního podniku nebo vytvořeny pro vzorový podnik. Předvedení dovedností při posuzování potřeby odborného zásahu v porostu olejnin (hnojení, ochrana rostliny) budou ověřovány v porostech 3 druhů olejnin.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„Orientace v olejninách a jejich nárocích na půdní a povětrnostní podmínky“ vyjmenuje uchazeč v kritériu a) minimálně 5 druhů olejnin, v kritériu b) rozpozná minimálně 5 vzorků semen olejnin a určí vývojové fáze olejnin podle alespoň 10 fotografií. V kritériu c) popíše nároky minimálně 3 druhů olejnin.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„Organizace výživy a hnojení s ohledem na stanoviště, průběh vegetace, růst a vývoj olejnin“ bude k prověření kritérií b), c), f) k dispozici Rámcová metodika výživy rostlin a hnojení.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„Diagnostika škodlivých činitelů v olejninách a opatření proti nim“ bude k prověření kritérií b) a d) k dispozici seznam přípravků na ochranu rostlin platný pro aktuální rok.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VURV,v.v.i. Praha- Ruzyně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