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F842" Type="http://schemas.openxmlformats.org/officeDocument/2006/relationships/officeDocument" Target="/word/document.xml" /><Relationship Id="coreR5F3F842" Type="http://schemas.openxmlformats.org/package/2006/relationships/metadata/core-properties" Target="/docProps/core.xml" /><Relationship Id="customR5F3F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katastr a restituce v lesním hospodářství (kód: 41-067-M)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pozemkové evidence a evidence všech druhů map v lesním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Shromažďování a posuzování podkladů pro návrhy majetkových smluv a pro majetkoprávní vypořádání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spolupráce s orgány státní správy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pozemkových podkladů pro tvorbu lesních hospodářských plánů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vyřizování žádostí o restituce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Kompletace spisů a dokladů právního charakteru a jejich příprava k archivaci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pozemkové evidence a evidence všech druhů map v lesním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a aktualizaci evidence pozemků v číselné i grafické podobě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účel a postup zpracování každoroční inventarizace pozemků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Vyplnit příslušné daňové přiznání k dani z nemovitosti včetně výpočtu daně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příklady důvodů osvobození od daně z nemovitosti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Vyjmenovat jednotlivé pozemkové a lesnické mapy užívané v lesním hospodářství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Shromažďování a posuzování podkladů pro návrhy majetkových smluv a pro majetkoprávní vypořádání</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Vyjmenovat nejdůležitější podklady potřebné k majetkoprávnímu vypořádání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Vyhledat v internetové aplikaci katastru nemovitostí veškeré dostupné písemné a grafické informace k zadanému pozemku</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w:t>
      </w:r>
    </w:p>
    <w:p>
      <w:pPr>
        <w:pStyle w:val="P12"/>
        <w:framePr w:w="6710" w:h="607" w:hRule="exact" w:wrap="none" w:vAnchor="page" w:hAnchor="margin" w:x="45" w:y="8886"/>
        <w:rPr>
          <w:rStyle w:val="C3"/>
          <w:rtl w:val="0"/>
        </w:rPr>
      </w:pPr>
    </w:p>
    <w:p>
      <w:pPr>
        <w:pStyle w:val="P13"/>
        <w:framePr w:w="6658" w:h="480" w:hRule="exact" w:wrap="none" w:vAnchor="page" w:hAnchor="margin" w:x="71" w:y="8942"/>
        <w:rPr>
          <w:rStyle w:val="C11"/>
          <w:rtl w:val="0"/>
        </w:rPr>
      </w:pPr>
      <w:r>
        <w:rPr>
          <w:rStyle w:val="C11"/>
          <w:rtl w:val="0"/>
        </w:rPr>
        <w:t>c) Popsat důvody vyhotovení geometrického plánu a orientovat se ve zpracovaných geometrických plánech</w:t>
      </w:r>
    </w:p>
    <w:p>
      <w:pPr>
        <w:pStyle w:val="P28"/>
        <w:framePr w:w="3921" w:h="607" w:hRule="exact" w:wrap="none" w:vAnchor="page" w:hAnchor="margin" w:x="6800" w:y="8886"/>
        <w:rPr>
          <w:rStyle w:val="C3"/>
          <w:rtl w:val="0"/>
        </w:rPr>
      </w:pPr>
    </w:p>
    <w:p>
      <w:pPr>
        <w:pStyle w:val="P29"/>
        <w:framePr w:w="3839" w:h="480" w:hRule="exact" w:wrap="none" w:vAnchor="page" w:hAnchor="margin" w:x="6856" w:y="8942"/>
        <w:rPr>
          <w:rStyle w:val="C21"/>
          <w:rtl w:val="0"/>
        </w:rPr>
      </w:pPr>
      <w:r>
        <w:rPr>
          <w:rStyle w:val="C21"/>
          <w:rtl w:val="0"/>
        </w:rPr>
        <w:t>Praktické předvedení a ústní ověření</w:t>
      </w:r>
    </w:p>
    <w:p>
      <w:pPr>
        <w:pStyle w:val="P16"/>
        <w:framePr w:w="6710" w:h="607" w:hRule="exact" w:wrap="none" w:vAnchor="page" w:hAnchor="margin" w:x="45" w:y="9493"/>
        <w:rPr>
          <w:rStyle w:val="C3"/>
          <w:rtl w:val="0"/>
        </w:rPr>
      </w:pPr>
    </w:p>
    <w:p>
      <w:pPr>
        <w:pStyle w:val="P17"/>
        <w:framePr w:w="6658" w:h="480" w:hRule="exact" w:wrap="none" w:vAnchor="page" w:hAnchor="margin" w:x="71" w:y="9549"/>
        <w:rPr>
          <w:rStyle w:val="C13"/>
          <w:rtl w:val="0"/>
        </w:rPr>
      </w:pPr>
      <w:r>
        <w:rPr>
          <w:rStyle w:val="C13"/>
          <w:rtl w:val="0"/>
        </w:rPr>
        <w:t>d) Uvést příklady využití územního (regulačního) plánu a orientovat se v předložené dokumentaci</w:t>
      </w:r>
    </w:p>
    <w:p>
      <w:pPr>
        <w:pStyle w:val="P30"/>
        <w:framePr w:w="3921" w:h="607" w:hRule="exact" w:wrap="none" w:vAnchor="page" w:hAnchor="margin" w:x="6800" w:y="9493"/>
        <w:rPr>
          <w:rStyle w:val="C3"/>
          <w:rtl w:val="0"/>
        </w:rPr>
      </w:pPr>
    </w:p>
    <w:p>
      <w:pPr>
        <w:pStyle w:val="P31"/>
        <w:framePr w:w="3839" w:h="480" w:hRule="exact" w:wrap="none" w:vAnchor="page" w:hAnchor="margin" w:x="6856" w:y="9549"/>
        <w:rPr>
          <w:rStyle w:val="C22"/>
          <w:rtl w:val="0"/>
        </w:rPr>
      </w:pPr>
      <w:r>
        <w:rPr>
          <w:rStyle w:val="C22"/>
          <w:rtl w:val="0"/>
        </w:rPr>
        <w:t>Praktické předvedení a ústní ověření</w:t>
      </w:r>
    </w:p>
    <w:p>
      <w:pPr>
        <w:pStyle w:val="P12"/>
        <w:framePr w:w="6710" w:h="607" w:hRule="exact" w:wrap="none" w:vAnchor="page" w:hAnchor="margin" w:x="45" w:y="10100"/>
        <w:rPr>
          <w:rStyle w:val="C3"/>
          <w:rtl w:val="0"/>
        </w:rPr>
      </w:pPr>
    </w:p>
    <w:p>
      <w:pPr>
        <w:pStyle w:val="P13"/>
        <w:framePr w:w="6658" w:h="480" w:hRule="exact" w:wrap="none" w:vAnchor="page" w:hAnchor="margin" w:x="71" w:y="10156"/>
        <w:rPr>
          <w:rStyle w:val="C11"/>
          <w:rtl w:val="0"/>
        </w:rPr>
      </w:pPr>
      <w:r>
        <w:rPr>
          <w:rStyle w:val="C11"/>
          <w:rtl w:val="0"/>
        </w:rPr>
        <w:t>e) Uvést účely zpracování znaleckých posudků o úřední (administrativní) ceně pozemku dle platných právních předpisů</w:t>
      </w:r>
    </w:p>
    <w:p>
      <w:pPr>
        <w:pStyle w:val="P28"/>
        <w:framePr w:w="3921" w:h="607" w:hRule="exact" w:wrap="none" w:vAnchor="page" w:hAnchor="margin" w:x="6800" w:y="10100"/>
        <w:rPr>
          <w:rStyle w:val="C3"/>
          <w:rtl w:val="0"/>
        </w:rPr>
      </w:pPr>
    </w:p>
    <w:p>
      <w:pPr>
        <w:pStyle w:val="P29"/>
        <w:framePr w:w="3839" w:h="480" w:hRule="exact" w:wrap="none" w:vAnchor="page" w:hAnchor="margin" w:x="6856" w:y="10156"/>
        <w:rPr>
          <w:rStyle w:val="C21"/>
          <w:rtl w:val="0"/>
        </w:rPr>
      </w:pPr>
      <w:r>
        <w:rPr>
          <w:rStyle w:val="C21"/>
          <w:rtl w:val="0"/>
        </w:rPr>
        <w:t>Ústní ověření</w:t>
      </w:r>
    </w:p>
    <w:p>
      <w:pPr>
        <w:pStyle w:val="P16"/>
        <w:framePr w:w="6710" w:h="607" w:hRule="exact" w:wrap="none" w:vAnchor="page" w:hAnchor="margin" w:x="45" w:y="10706"/>
        <w:rPr>
          <w:rStyle w:val="C3"/>
          <w:rtl w:val="0"/>
        </w:rPr>
      </w:pPr>
    </w:p>
    <w:p>
      <w:pPr>
        <w:pStyle w:val="P17"/>
        <w:framePr w:w="6658" w:h="480" w:hRule="exact" w:wrap="none" w:vAnchor="page" w:hAnchor="margin" w:x="71" w:y="10762"/>
        <w:rPr>
          <w:rStyle w:val="C13"/>
          <w:rtl w:val="0"/>
        </w:rPr>
      </w:pPr>
      <w:r>
        <w:rPr>
          <w:rStyle w:val="C13"/>
          <w:rtl w:val="0"/>
        </w:rPr>
        <w:t>f) Vyjmenovat nejčastější typy majetkoprávních smluv a důvody jejich vyhotovení</w:t>
      </w:r>
    </w:p>
    <w:p>
      <w:pPr>
        <w:pStyle w:val="P30"/>
        <w:framePr w:w="3921" w:h="607" w:hRule="exact" w:wrap="none" w:vAnchor="page" w:hAnchor="margin" w:x="6800" w:y="10706"/>
        <w:rPr>
          <w:rStyle w:val="C3"/>
          <w:rtl w:val="0"/>
        </w:rPr>
      </w:pPr>
    </w:p>
    <w:p>
      <w:pPr>
        <w:pStyle w:val="P31"/>
        <w:framePr w:w="3839" w:h="480" w:hRule="exact" w:wrap="none" w:vAnchor="page" w:hAnchor="margin" w:x="6856" w:y="10762"/>
        <w:rPr>
          <w:rStyle w:val="C22"/>
          <w:rtl w:val="0"/>
        </w:rPr>
      </w:pPr>
      <w:r>
        <w:rPr>
          <w:rStyle w:val="C22"/>
          <w:rtl w:val="0"/>
        </w:rPr>
        <w:t>Ústní ověření</w:t>
      </w:r>
    </w:p>
    <w:p>
      <w:pPr>
        <w:pStyle w:val="P12"/>
        <w:framePr w:w="6710" w:h="376" w:hRule="exact" w:wrap="none" w:vAnchor="page" w:hAnchor="margin" w:x="45" w:y="11313"/>
        <w:rPr>
          <w:rStyle w:val="C3"/>
          <w:rtl w:val="0"/>
        </w:rPr>
      </w:pPr>
    </w:p>
    <w:p>
      <w:pPr>
        <w:pStyle w:val="P13"/>
        <w:framePr w:w="6658" w:h="249" w:hRule="exact" w:wrap="none" w:vAnchor="page" w:hAnchor="margin" w:x="71" w:y="11369"/>
        <w:rPr>
          <w:rStyle w:val="C11"/>
          <w:rtl w:val="0"/>
        </w:rPr>
      </w:pPr>
      <w:r>
        <w:rPr>
          <w:rStyle w:val="C11"/>
          <w:rtl w:val="0"/>
        </w:rPr>
        <w:t>g) Popsat zásadní náležitosti kupní smlouvy o převodu nemovitosti</w:t>
      </w:r>
    </w:p>
    <w:p>
      <w:pPr>
        <w:pStyle w:val="P28"/>
        <w:framePr w:w="3921" w:h="376" w:hRule="exact" w:wrap="none" w:vAnchor="page" w:hAnchor="margin" w:x="6800" w:y="11313"/>
        <w:rPr>
          <w:rStyle w:val="C3"/>
          <w:rtl w:val="0"/>
        </w:rPr>
      </w:pPr>
    </w:p>
    <w:p>
      <w:pPr>
        <w:pStyle w:val="P29"/>
        <w:framePr w:w="3839" w:h="249" w:hRule="exact" w:wrap="none" w:vAnchor="page" w:hAnchor="margin" w:x="6856" w:y="11369"/>
        <w:rPr>
          <w:rStyle w:val="C21"/>
          <w:rtl w:val="0"/>
        </w:rPr>
      </w:pPr>
      <w:r>
        <w:rPr>
          <w:rStyle w:val="C21"/>
          <w:rtl w:val="0"/>
        </w:rPr>
        <w:t>Písemné ověření</w:t>
      </w:r>
    </w:p>
    <w:p>
      <w:pPr>
        <w:pStyle w:val="P16"/>
        <w:framePr w:w="6710" w:h="607" w:hRule="exact" w:wrap="none" w:vAnchor="page" w:hAnchor="margin" w:x="45" w:y="11689"/>
        <w:rPr>
          <w:rStyle w:val="C3"/>
          <w:rtl w:val="0"/>
        </w:rPr>
      </w:pPr>
    </w:p>
    <w:p>
      <w:pPr>
        <w:pStyle w:val="P17"/>
        <w:framePr w:w="6658" w:h="480" w:hRule="exact" w:wrap="none" w:vAnchor="page" w:hAnchor="margin" w:x="71" w:y="11745"/>
        <w:rPr>
          <w:rStyle w:val="C13"/>
          <w:rtl w:val="0"/>
        </w:rPr>
      </w:pPr>
      <w:r>
        <w:rPr>
          <w:rStyle w:val="C13"/>
          <w:rtl w:val="0"/>
        </w:rPr>
        <w:t>h) Provést na stanoveném tiskopisu vklad vlastnického práva k nemovitosti do katastru nemovitostí</w:t>
      </w:r>
    </w:p>
    <w:p>
      <w:pPr>
        <w:pStyle w:val="P30"/>
        <w:framePr w:w="3921" w:h="607" w:hRule="exact" w:wrap="none" w:vAnchor="page" w:hAnchor="margin" w:x="6800" w:y="11689"/>
        <w:rPr>
          <w:rStyle w:val="C3"/>
          <w:rtl w:val="0"/>
        </w:rPr>
      </w:pPr>
    </w:p>
    <w:p>
      <w:pPr>
        <w:pStyle w:val="P31"/>
        <w:framePr w:w="3839" w:h="480" w:hRule="exact" w:wrap="none" w:vAnchor="page" w:hAnchor="margin" w:x="6856" w:y="11745"/>
        <w:rPr>
          <w:rStyle w:val="C22"/>
          <w:rtl w:val="0"/>
        </w:rPr>
      </w:pPr>
      <w:r>
        <w:rPr>
          <w:rStyle w:val="C22"/>
          <w:rtl w:val="0"/>
        </w:rPr>
        <w:t>Písemné ověření</w:t>
      </w:r>
    </w:p>
    <w:p>
      <w:pPr>
        <w:pStyle w:val="P32"/>
        <w:framePr w:w="10710" w:h="248" w:hRule="exact" w:wrap="none" w:vAnchor="page" w:hAnchor="margin" w:x="28" w:y="12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spolupráce s orgány státní správy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právní předpisy týkající se ochrany pozemků určených k plnění funkcí lesa a zemědělského půdního fondu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příklady běžné komunikace s katastrálním úřadem a úřadem pro zastupování státu ve věcech majetkových při ochraně pozemků určených k plnění funkcí lesa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legislativní postup změny nelesního pozemku vhodného k zalesnění na pozemek určený k plnění funkcí lesa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povinné náležitosti k žádosti o odnětí nebo omezení pozemku určeného k plnění funkcí lesa</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postup tvorby a změn honiteb dle zákona o myslivosti</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Příprava pozemkových podkladů pro tvorbu lesních hospodářských plánů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jednotlivá díla hospodářské úpravy lesů podle velikosti a druhu vlastnictví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Vyjmenovat náležitosti lesních hospodářských plánů a orientovat se v lesnických mapách a plochové tabulce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Charakterizovat pozemky určené k plnění funkcí lesa a uvést jejich podrobné členění pro účely zpracování lesních hospodářských plánů</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Popsat možnosti řešení nesouladů skutečného způsobu využití pozemků a evidence pozemků určených k plnění funkcí lesa</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Posuzování a vyřizování žádostí o restituce</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alfanumerickou a grafickou identifikaci pozemků vedených ve zjednodušené evidenci</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Uvést možné informační zdroje nabývacích listin k pozemkům potenciálně určeným k restituci</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Ústní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Popsat obsah geometrického plánu a orientovat se ve zpracovaných geometrických plánech</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Vyjmenovat předpoklady oprávněnosti jednotlivých restitučních nároků podle platné legislativy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12"/>
        <w:framePr w:w="6710" w:h="376" w:hRule="exact" w:wrap="none" w:vAnchor="page" w:hAnchor="margin" w:x="45" w:y="13581"/>
        <w:rPr>
          <w:rStyle w:val="C3"/>
          <w:rtl w:val="0"/>
        </w:rPr>
      </w:pPr>
    </w:p>
    <w:p>
      <w:pPr>
        <w:pStyle w:val="P13"/>
        <w:framePr w:w="6658" w:h="249" w:hRule="exact" w:wrap="none" w:vAnchor="page" w:hAnchor="margin" w:x="71" w:y="13637"/>
        <w:rPr>
          <w:rStyle w:val="C11"/>
          <w:rtl w:val="0"/>
        </w:rPr>
      </w:pPr>
      <w:r>
        <w:rPr>
          <w:rStyle w:val="C11"/>
          <w:rtl w:val="0"/>
        </w:rPr>
        <w:t>e) Uvést obvykle vyžadované podklady k soudnímu řízení ve věci restitucí</w:t>
      </w:r>
    </w:p>
    <w:p>
      <w:pPr>
        <w:pStyle w:val="P28"/>
        <w:framePr w:w="3921" w:h="376" w:hRule="exact" w:wrap="none" w:vAnchor="page" w:hAnchor="margin" w:x="6800" w:y="13581"/>
        <w:rPr>
          <w:rStyle w:val="C3"/>
          <w:rtl w:val="0"/>
        </w:rPr>
      </w:pPr>
    </w:p>
    <w:p>
      <w:pPr>
        <w:pStyle w:val="P29"/>
        <w:framePr w:w="3839" w:h="249" w:hRule="exact" w:wrap="none" w:vAnchor="page" w:hAnchor="margin" w:x="6856" w:y="13637"/>
        <w:rPr>
          <w:rStyle w:val="C21"/>
          <w:rtl w:val="0"/>
        </w:rPr>
      </w:pPr>
      <w:r>
        <w:rPr>
          <w:rStyle w:val="C21"/>
          <w:rtl w:val="0"/>
        </w:rPr>
        <w:t>Písemné ověření</w:t>
      </w:r>
    </w:p>
    <w:p>
      <w:pPr>
        <w:pStyle w:val="P32"/>
        <w:framePr w:w="10710" w:h="248" w:hRule="exact" w:wrap="none" w:vAnchor="page" w:hAnchor="margin" w:x="28" w:y="14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spisů a dokladů právního charakteru a jejich příprava k archivaci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předpisy na úseku archivnictví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 zatřiďování dokumentů dle spisového a skartačního řádu včetně doby jejich archivace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nejméně střední vzdělání s maturitní zkouškou.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na počítači s připojením k internetu. Teoretická část proběhne v běžném kancelářském prostředí. Po ukončení zkoušky bude provedeno samostatně vyhodnocení obou částí. Výsledky obou částí mají při konečném hodnocení stejnou váhu. </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geodezie a katastr nemovitostí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na úseku nakládání s nemovitostmi,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geodezii a kartografii a alespoň 5 let odborné praxe ve funkci učitele odborných předmětů v oblasti geodezie,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Pozemkové mapy</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hospodářský plán pro vybraný lesní hospodářský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Územně plánovací dokumentace pro vybraný územní celek</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finančního úřadu k přiznání daně z nemovitosti a daně z převodu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katastrálního úřadu ke vkladu vlastnického nebo jiného práva do katastru nemovitostí</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Geometrický plán k vybrané nemovitosti</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pStyle w:val="P21"/>
        <w:framePr w:w="7654" w:h="331" w:hRule="exact" w:wrap="none" w:vAnchor="page" w:hAnchor="margin" w:x="28" w:y="15940"/>
        <w:rPr>
          <w:rStyle w:val="C16"/>
          <w:rtl w:val="0"/>
        </w:rPr>
      </w:pPr>
      <w:r>
        <w:rPr>
          <w:rStyle w:val="C16"/>
          <w:rtl w:val="0"/>
        </w:rPr>
        <w:t>Technický pracovník pro katastr a restituce v lesním hospodářství, 31.5.2026 13:05:07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8E5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EE17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