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A66BB" Type="http://schemas.openxmlformats.org/officeDocument/2006/relationships/officeDocument" Target="/word/document.xml" /><Relationship Id="coreR4A1A66BB" Type="http://schemas.openxmlformats.org/package/2006/relationships/metadata/core-properties" Target="/docProps/core.xml" /><Relationship Id="customR4A1A66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katastr a restituce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a aktualizaci evidence pozemků v číselné i grafické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účel a postup zpracování každoroční inventarizace pozemků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Vyplnit příslušné daňové přiznání k dani z nemovitosti včetně výpočtu daně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příklady důvodů osvobození od daně z nemovitosti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Vyjmenovat jednotlivé pozemkové a lesnické mapy užívané v lesním hospodářství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d) Uvést příklady využití územního (regulačního) plánu a orientovat se v předložené dokumentaci</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e) Uvést účely zpracování znaleckých posudků o úřední (administrativní) ceně pozemku dle platných právních předpisů</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Ústní ověření</w:t>
      </w:r>
    </w:p>
    <w:p>
      <w:pPr>
        <w:pStyle w:val="P16"/>
        <w:framePr w:w="6710" w:h="607" w:hRule="exact" w:wrap="none" w:vAnchor="page" w:hAnchor="margin" w:x="45" w:y="10706"/>
        <w:rPr>
          <w:rStyle w:val="C3"/>
          <w:rtl w:val="0"/>
        </w:rPr>
      </w:pPr>
    </w:p>
    <w:p>
      <w:pPr>
        <w:pStyle w:val="P17"/>
        <w:framePr w:w="6658" w:h="480" w:hRule="exact" w:wrap="none" w:vAnchor="page" w:hAnchor="margin" w:x="71" w:y="10762"/>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0706"/>
        <w:rPr>
          <w:rStyle w:val="C3"/>
          <w:rtl w:val="0"/>
        </w:rPr>
      </w:pPr>
    </w:p>
    <w:p>
      <w:pPr>
        <w:pStyle w:val="P31"/>
        <w:framePr w:w="3839" w:h="480" w:hRule="exact" w:wrap="none" w:vAnchor="page" w:hAnchor="margin" w:x="6856" w:y="10762"/>
        <w:rPr>
          <w:rStyle w:val="C22"/>
          <w:rtl w:val="0"/>
        </w:rPr>
      </w:pPr>
      <w:r>
        <w:rPr>
          <w:rStyle w:val="C22"/>
          <w:rtl w:val="0"/>
        </w:rPr>
        <w:t>Ústní ověření</w:t>
      </w:r>
    </w:p>
    <w:p>
      <w:pPr>
        <w:pStyle w:val="P12"/>
        <w:framePr w:w="6710" w:h="376" w:hRule="exact" w:wrap="none" w:vAnchor="page" w:hAnchor="margin" w:x="45" w:y="11313"/>
        <w:rPr>
          <w:rStyle w:val="C3"/>
          <w:rtl w:val="0"/>
        </w:rPr>
      </w:pPr>
    </w:p>
    <w:p>
      <w:pPr>
        <w:pStyle w:val="P13"/>
        <w:framePr w:w="6658" w:h="249" w:hRule="exact" w:wrap="none" w:vAnchor="page" w:hAnchor="margin" w:x="71" w:y="11369"/>
        <w:rPr>
          <w:rStyle w:val="C11"/>
          <w:rtl w:val="0"/>
        </w:rPr>
      </w:pPr>
      <w:r>
        <w:rPr>
          <w:rStyle w:val="C11"/>
          <w:rtl w:val="0"/>
        </w:rPr>
        <w:t>g) Popsat zásadní náležitosti kupní smlouvy o převodu nemovitosti</w:t>
      </w:r>
    </w:p>
    <w:p>
      <w:pPr>
        <w:pStyle w:val="P28"/>
        <w:framePr w:w="3921" w:h="376" w:hRule="exact" w:wrap="none" w:vAnchor="page" w:hAnchor="margin" w:x="6800" w:y="11313"/>
        <w:rPr>
          <w:rStyle w:val="C3"/>
          <w:rtl w:val="0"/>
        </w:rPr>
      </w:pPr>
    </w:p>
    <w:p>
      <w:pPr>
        <w:pStyle w:val="P29"/>
        <w:framePr w:w="3839" w:h="249" w:hRule="exact" w:wrap="none" w:vAnchor="page" w:hAnchor="margin" w:x="6856" w:y="11369"/>
        <w:rPr>
          <w:rStyle w:val="C21"/>
          <w:rtl w:val="0"/>
        </w:rPr>
      </w:pPr>
      <w:r>
        <w:rPr>
          <w:rStyle w:val="C21"/>
          <w:rtl w:val="0"/>
        </w:rPr>
        <w:t>Písemné ověření</w:t>
      </w:r>
    </w:p>
    <w:p>
      <w:pPr>
        <w:pStyle w:val="P16"/>
        <w:framePr w:w="6710" w:h="607" w:hRule="exact" w:wrap="none" w:vAnchor="page" w:hAnchor="margin" w:x="45" w:y="11689"/>
        <w:rPr>
          <w:rStyle w:val="C3"/>
          <w:rtl w:val="0"/>
        </w:rPr>
      </w:pPr>
    </w:p>
    <w:p>
      <w:pPr>
        <w:pStyle w:val="P17"/>
        <w:framePr w:w="6658" w:h="480" w:hRule="exact" w:wrap="none" w:vAnchor="page" w:hAnchor="margin" w:x="71" w:y="11745"/>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1689"/>
        <w:rPr>
          <w:rStyle w:val="C3"/>
          <w:rtl w:val="0"/>
        </w:rPr>
      </w:pPr>
    </w:p>
    <w:p>
      <w:pPr>
        <w:pStyle w:val="P31"/>
        <w:framePr w:w="3839" w:h="480" w:hRule="exact" w:wrap="none" w:vAnchor="page" w:hAnchor="margin" w:x="6856" w:y="11745"/>
        <w:rPr>
          <w:rStyle w:val="C22"/>
          <w:rtl w:val="0"/>
        </w:rPr>
      </w:pPr>
      <w:r>
        <w:rPr>
          <w:rStyle w:val="C22"/>
          <w:rtl w:val="0"/>
        </w:rPr>
        <w:t>Písemné ověření</w:t>
      </w:r>
    </w:p>
    <w:p>
      <w:pPr>
        <w:pStyle w:val="P32"/>
        <w:framePr w:w="10710" w:h="248" w:hRule="exact" w:wrap="none" w:vAnchor="page" w:hAnchor="margin" w:x="28" w:y="12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běžné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obvykle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Písemné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nejméně střední vzdělání s maturitní zkouškou.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na počítači s připojením k internetu. Teoretická část proběhne v běžném kancelářském prostředí. Po ukončení zkoušky bude provedeno samostatně vyhodnocení obou částí. Výsledky obou částí mají při konečném hodnocení stejnou váhu. </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geodezie a katastr nemovitostí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geodezii a kartografii a alespoň 5 let odborné praxe na úseku nakládání s nemovitostmi,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geodezii a kartografii a alespoň 5 let odborné praxe ve funkci učitele odborných předmětů v oblasti geodezie,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Územně plánovací dokumentace pro vybraný územní celek</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Geometrický plán k vybrané nemovitosti</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pStyle w:val="P21"/>
        <w:framePr w:w="7654" w:h="331" w:hRule="exact" w:wrap="none" w:vAnchor="page" w:hAnchor="margin" w:x="28" w:y="15940"/>
        <w:rPr>
          <w:rStyle w:val="C16"/>
          <w:rtl w:val="0"/>
        </w:rPr>
      </w:pPr>
      <w:r>
        <w:rPr>
          <w:rStyle w:val="C16"/>
          <w:rtl w:val="0"/>
        </w:rPr>
        <w:t>Technický pracovník pro katastr a restituce v lesním hospodářství, 30.9.2026 8:18:10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726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ECC7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