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494DFE" Type="http://schemas.openxmlformats.org/officeDocument/2006/relationships/officeDocument" Target="/word/document.xml" /><Relationship Id="coreR3F494DFE" Type="http://schemas.openxmlformats.org/package/2006/relationships/metadata/core-properties" Target="/docProps/core.xml" /><Relationship Id="customR3F494D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pro katastr a restituce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14:48:50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vedení a aktualizaci evidence pozemků v číselné i grafické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účel a postup zpracování každoroční inventarizace pozemků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Vyplnit příslušné daňové přiznání k dani z nemovitosti včetně výpočtu daně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příklady důvodů osvobození od daně z nemovitosti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Vyjmenovat jednotlivé pozemkové a lesnické mapy užívané v lesním hospodářství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 a ústní ověření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d) Uvést příklady využití územního (regulačního) plánu a orientovat se v předložené dokumentaci</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Praktické předvedení a ústní ověření</w:t>
      </w:r>
    </w:p>
    <w:p>
      <w:pPr>
        <w:pStyle w:val="P12"/>
        <w:framePr w:w="6710" w:h="607" w:hRule="exact" w:wrap="none" w:vAnchor="page" w:hAnchor="margin" w:x="45" w:y="10100"/>
        <w:rPr>
          <w:rStyle w:val="C3"/>
          <w:rtl w:val="0"/>
        </w:rPr>
      </w:pPr>
    </w:p>
    <w:p>
      <w:pPr>
        <w:pStyle w:val="P13"/>
        <w:framePr w:w="6658" w:h="480" w:hRule="exact" w:wrap="none" w:vAnchor="page" w:hAnchor="margin" w:x="71" w:y="10156"/>
        <w:rPr>
          <w:rStyle w:val="C11"/>
          <w:rtl w:val="0"/>
        </w:rPr>
      </w:pPr>
      <w:r>
        <w:rPr>
          <w:rStyle w:val="C11"/>
          <w:rtl w:val="0"/>
        </w:rPr>
        <w:t>e) Uvést účely zpracování znaleckých posudků o úřední (administrativní) ceně pozemku dle platných právních předpisů</w:t>
      </w:r>
    </w:p>
    <w:p>
      <w:pPr>
        <w:pStyle w:val="P28"/>
        <w:framePr w:w="3921" w:h="607" w:hRule="exact" w:wrap="none" w:vAnchor="page" w:hAnchor="margin" w:x="6800" w:y="10100"/>
        <w:rPr>
          <w:rStyle w:val="C3"/>
          <w:rtl w:val="0"/>
        </w:rPr>
      </w:pPr>
    </w:p>
    <w:p>
      <w:pPr>
        <w:pStyle w:val="P29"/>
        <w:framePr w:w="3839" w:h="480" w:hRule="exact" w:wrap="none" w:vAnchor="page" w:hAnchor="margin" w:x="6856" w:y="10156"/>
        <w:rPr>
          <w:rStyle w:val="C21"/>
          <w:rtl w:val="0"/>
        </w:rPr>
      </w:pPr>
      <w:r>
        <w:rPr>
          <w:rStyle w:val="C21"/>
          <w:rtl w:val="0"/>
        </w:rPr>
        <w:t>Ústní ověření</w:t>
      </w:r>
    </w:p>
    <w:p>
      <w:pPr>
        <w:pStyle w:val="P16"/>
        <w:framePr w:w="6710" w:h="607" w:hRule="exact" w:wrap="none" w:vAnchor="page" w:hAnchor="margin" w:x="45" w:y="10706"/>
        <w:rPr>
          <w:rStyle w:val="C3"/>
          <w:rtl w:val="0"/>
        </w:rPr>
      </w:pPr>
    </w:p>
    <w:p>
      <w:pPr>
        <w:pStyle w:val="P17"/>
        <w:framePr w:w="6658" w:h="480" w:hRule="exact" w:wrap="none" w:vAnchor="page" w:hAnchor="margin" w:x="71" w:y="10762"/>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0706"/>
        <w:rPr>
          <w:rStyle w:val="C3"/>
          <w:rtl w:val="0"/>
        </w:rPr>
      </w:pPr>
    </w:p>
    <w:p>
      <w:pPr>
        <w:pStyle w:val="P31"/>
        <w:framePr w:w="3839" w:h="480" w:hRule="exact" w:wrap="none" w:vAnchor="page" w:hAnchor="margin" w:x="6856" w:y="10762"/>
        <w:rPr>
          <w:rStyle w:val="C22"/>
          <w:rtl w:val="0"/>
        </w:rPr>
      </w:pPr>
      <w:r>
        <w:rPr>
          <w:rStyle w:val="C22"/>
          <w:rtl w:val="0"/>
        </w:rPr>
        <w:t>Ústní ověření</w:t>
      </w:r>
    </w:p>
    <w:p>
      <w:pPr>
        <w:pStyle w:val="P12"/>
        <w:framePr w:w="6710" w:h="376" w:hRule="exact" w:wrap="none" w:vAnchor="page" w:hAnchor="margin" w:x="45" w:y="11313"/>
        <w:rPr>
          <w:rStyle w:val="C3"/>
          <w:rtl w:val="0"/>
        </w:rPr>
      </w:pPr>
    </w:p>
    <w:p>
      <w:pPr>
        <w:pStyle w:val="P13"/>
        <w:framePr w:w="6658" w:h="249" w:hRule="exact" w:wrap="none" w:vAnchor="page" w:hAnchor="margin" w:x="71" w:y="11369"/>
        <w:rPr>
          <w:rStyle w:val="C11"/>
          <w:rtl w:val="0"/>
        </w:rPr>
      </w:pPr>
      <w:r>
        <w:rPr>
          <w:rStyle w:val="C11"/>
          <w:rtl w:val="0"/>
        </w:rPr>
        <w:t>g) Popsat zásadní náležitosti kupní smlouvy o převodu nemovitosti</w:t>
      </w:r>
    </w:p>
    <w:p>
      <w:pPr>
        <w:pStyle w:val="P28"/>
        <w:framePr w:w="3921" w:h="376" w:hRule="exact" w:wrap="none" w:vAnchor="page" w:hAnchor="margin" w:x="6800" w:y="11313"/>
        <w:rPr>
          <w:rStyle w:val="C3"/>
          <w:rtl w:val="0"/>
        </w:rPr>
      </w:pPr>
    </w:p>
    <w:p>
      <w:pPr>
        <w:pStyle w:val="P29"/>
        <w:framePr w:w="3839" w:h="249" w:hRule="exact" w:wrap="none" w:vAnchor="page" w:hAnchor="margin" w:x="6856" w:y="11369"/>
        <w:rPr>
          <w:rStyle w:val="C21"/>
          <w:rtl w:val="0"/>
        </w:rPr>
      </w:pPr>
      <w:r>
        <w:rPr>
          <w:rStyle w:val="C21"/>
          <w:rtl w:val="0"/>
        </w:rPr>
        <w:t>Písemné ověření</w:t>
      </w:r>
    </w:p>
    <w:p>
      <w:pPr>
        <w:pStyle w:val="P16"/>
        <w:framePr w:w="6710" w:h="607" w:hRule="exact" w:wrap="none" w:vAnchor="page" w:hAnchor="margin" w:x="45" w:y="11689"/>
        <w:rPr>
          <w:rStyle w:val="C3"/>
          <w:rtl w:val="0"/>
        </w:rPr>
      </w:pPr>
    </w:p>
    <w:p>
      <w:pPr>
        <w:pStyle w:val="P17"/>
        <w:framePr w:w="6658" w:h="480" w:hRule="exact" w:wrap="none" w:vAnchor="page" w:hAnchor="margin" w:x="71" w:y="11745"/>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1689"/>
        <w:rPr>
          <w:rStyle w:val="C3"/>
          <w:rtl w:val="0"/>
        </w:rPr>
      </w:pPr>
    </w:p>
    <w:p>
      <w:pPr>
        <w:pStyle w:val="P31"/>
        <w:framePr w:w="3839" w:h="480" w:hRule="exact" w:wrap="none" w:vAnchor="page" w:hAnchor="margin" w:x="6856" w:y="11745"/>
        <w:rPr>
          <w:rStyle w:val="C22"/>
          <w:rtl w:val="0"/>
        </w:rPr>
      </w:pPr>
      <w:r>
        <w:rPr>
          <w:rStyle w:val="C22"/>
          <w:rtl w:val="0"/>
        </w:rPr>
        <w:t>Písemné ověření</w:t>
      </w:r>
    </w:p>
    <w:p>
      <w:pPr>
        <w:pStyle w:val="P32"/>
        <w:framePr w:w="10710" w:h="248" w:hRule="exact" w:wrap="none" w:vAnchor="page" w:hAnchor="margin" w:x="28" w:y="12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14:48:50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běžné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obvykle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Písemné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14:48:50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14:48:50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nejméně střední vzdělání s maturitní zkouškou.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Praktickou část je nutné absolvovat na počítači s připojením k internetu. Teoretická část proběhne v běžném kancelářském prostředí. Po ukončení zkoušky bude provedeno samostatně vyhodnocení obou částí. Výsledky obou částí mají při konečném hodnocení stejnou váhu. </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14:48:50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nebo geodezie a katastr nemovitostí a alespoň 5 let odborné praxe na úseku nakládání s nemovitostmi,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a alespoň 5 let odborné praxe na úseku nakládání s nemovitostmi,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geodezii a kartografii a alespoň 5 let odborné praxe na úseku nakládání s nemovitostmi,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geodezii a kartografii a alespoň 5 let odborné praxe ve funkci učitele odborných předmětů v oblasti geodezie,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Územně plánovací dokumentace pro vybraný územní celek</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Geometrický plán k vybrané nemovitosti</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14:48:50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14:48:50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14:48:50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D7DC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8224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