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E901A" Type="http://schemas.openxmlformats.org/officeDocument/2006/relationships/officeDocument" Target="/word/document.xml" /><Relationship Id="coreR164E901A" Type="http://schemas.openxmlformats.org/package/2006/relationships/metadata/core-properties" Target="/docProps/core.xml" /><Relationship Id="customR164E9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Praktickou část je nutné absolvovat v porostu, případně i pracovišti s přiměřeným technickým zázemím (dílna, přístřešek apod.), kde je možné ověřit uvedené znalosti a dovednosti práce s křovinořezem.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