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A4353" Type="http://schemas.openxmlformats.org/officeDocument/2006/relationships/officeDocument" Target="/word/document.xml" /><Relationship Id="coreR336A4353" Type="http://schemas.openxmlformats.org/package/2006/relationships/metadata/core-properties" Target="/docProps/core.xml" /><Relationship Id="customR336A43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15.01.2021 do: 16.10.2023</w:t>
      </w:r>
    </w:p>
    <w:p>
      <w:pPr>
        <w:pStyle w:val="P21"/>
        <w:framePr w:w="7654" w:h="331" w:hRule="exact" w:wrap="none" w:vAnchor="page" w:hAnchor="margin" w:x="28" w:y="15940"/>
        <w:rPr>
          <w:rStyle w:val="C16"/>
          <w:rtl w:val="0"/>
        </w:rPr>
      </w:pPr>
      <w:r>
        <w:rPr>
          <w:rStyle w:val="C16"/>
          <w:rtl w:val="0"/>
        </w:rPr>
        <w:t>Pracovník/pracovnice výroby hotových pokrmů, 30.9.2026 3:47:40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30.9.2026 3:47:40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30.9.2026 3:47:40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30.9.2026 3:47:40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 a musí být schopné poskytnout čestné prohlášení o bezinfekčnosti.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30.9.2026 3:47:40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30.9.2026 3:47:40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30.9.2026 3:47:40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30.9.2026 3:47:40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E1A1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3229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