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3A2C2D" Type="http://schemas.openxmlformats.org/officeDocument/2006/relationships/officeDocument" Target="/word/document.xml" /><Relationship Id="coreR613A2C2D" Type="http://schemas.openxmlformats.org/package/2006/relationships/metadata/core-properties" Target="/docProps/core.xml" /><Relationship Id="customR613A2C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architektury a krajiny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rozdílnosti základních typů fotografických přístrojů a jejich funkcí, včetně velkoformátových přístrojů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Vybrat vhodný fotografický přístroj, popsat jeho technické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Volba vhodného osvětlení a práce se světlem při fotografování architektury a krajiny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Písemné a 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využití umělého světla při fotografování interiéru</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a 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d) Změřit a nastavit správnou hodnotu expozice, vysvětlit využití měření dopadajícího a odraženého světla</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Praktické předvedení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Popsat využití funkce HDR (zvýšení dynamického rozsahu obrazu)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Ústní ověření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možnosti ukládání digitálních dat</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Provést uložení digitálních dat na vhodné médium</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d) Popsat možnosti archivace obrazových materiálů (filmů, fotografií, tisků)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5"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•zábleskové nebo stálé fotografické osvětlovací zařízení pro fotografování interiéru, stativ a další příslušenství,</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faktury, formulář zjednodušeného daňového dokladu.</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přístoj s příslušenstvím.</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Fotograf/fotografka architektury a krajiny, 20.10.2026 9:28:59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BD0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C8F3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78F0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