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8D1C3" Type="http://schemas.openxmlformats.org/officeDocument/2006/relationships/officeDocument" Target="/word/document.xml" /><Relationship Id="coreR2FF8D1C3" Type="http://schemas.openxmlformats.org/package/2006/relationships/metadata/core-properties" Target="/docProps/core.xml" /><Relationship Id="customR2FF8D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vidění, závratě, duševní poruchy, poruchy chování, onemocnění oběhové soustavy, onemocnění ledvin, závažná onemocnění dýchacích cest a plic, závažná onemocnění pohybového systému znemožňující práci ve vynucené poloze a zátěž páteře a trupu.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732601 – Provádění ocelových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732603 - Provádění ocelových mostních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732604 - Požadavky na údržbu a kontrolu ocelových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730802 - Požární bezpečnost staveb – nevýrobní objekty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730810 - Požární bezpečnost staveb – společná ustanovení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