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58A0DE" Type="http://schemas.openxmlformats.org/officeDocument/2006/relationships/officeDocument" Target="/word/document.xml" /><Relationship Id="coreR7C58A0DE" Type="http://schemas.openxmlformats.org/package/2006/relationships/metadata/core-properties" Target="/docProps/core.xml" /><Relationship Id="customR7C58A0D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řezbář (kód: 82-002-H)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řezbář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Příprava a zpracování uměleckořemeslného záměru, studium podkladů, zpracování výtvarného návrhu řezbářského výrobku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Volba materiálu, technologických a pracovních postupů pro zhotovení uměleckořemeslných řezbářských výrobků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Příprava a úprava materiálů pro zhotovení řezby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Vytváření uměleckořemeslných řezbářských výrobků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Opravy a rekonstrukce uměleckořemeslných řezbářských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dřevoobráběcích strojů a strojních zařízení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Povrchová úprava uměleckořemeslných řezbářských výrobků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28.04.2015 do: 19.08.2020</w:t>
      </w:r>
    </w:p>
    <w:p>
      <w:pPr>
        <w:pStyle w:val="P21"/>
        <w:framePr w:w="7654" w:h="331" w:hRule="exact" w:wrap="none" w:vAnchor="page" w:hAnchor="margin" w:x="28" w:y="15940"/>
        <w:rPr>
          <w:rStyle w:val="C16"/>
          <w:rtl w:val="0"/>
        </w:rPr>
      </w:pPr>
      <w:r>
        <w:rPr>
          <w:rStyle w:val="C16"/>
          <w:rtl w:val="0"/>
        </w:rPr>
        <w:t>Umělecký řezbář, 17.8.2026 20:21:56</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59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představovat komplex navazujících činností vedoucích k dohotovení finálních produktů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 Je třeba klást důraz na kvalitu a přesnost zhotovení výrobků.</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začátku zkoušky autorizovaná osoba zadá uchazeči konkrétní zadání, která umožní ověření všech odborných kompetencí uvedených v hodnoticím standardu. Při zkoušce uchazeč zhotoví 3 výrobky, a to reliéfní ornament o velikosti 150 x 150 mm, reliéfní řezbu chebskou technikou nejméně o velikosti 200 x 300 mm a prostorový dřevěný řetěz s délkou oka 50 mm (nejméně 4 oka řetězu). Uchazeč předloží na začátku zkoušky autorizované osobě výtvarné návrhy prvních dvou výrobků. Autorizovaná osoba určí, zda bude uchazeč zhotovovat uvedené dva výrobky dle vlastních výtvarných návrhů nebo dle předložené dokumentace, a to v závislosti na úrovni předloženého výtvarného návrhu uchazeče. Předložená dokumentace obsahuje výtvarný návrh, příp. fotografie - v případě zhotovení repliky.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kompetence Opravy a rekonstrukce uměleckořemeslných řezbářských výrobků autorizovaná osoba připraví řezbovaný předmět určený k opravě např. poškozená řezba na židli ve stylu chippendale, nebo poškozená řezba srovnatelné obtížnosti.</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hotových výrobků bude posuzována kvalita, přesnost a estetika provedení výrobků; předmětem hodnocení je i manuální zručnost uchazeče a dodržování předpisů BOZP a PO.</w:t>
      </w:r>
    </w:p>
    <w:p>
      <w:pPr>
        <w:pStyle w:val="P21"/>
        <w:framePr w:w="7654" w:h="331" w:hRule="exact" w:wrap="none" w:vAnchor="page" w:hAnchor="margin" w:x="28" w:y="15940"/>
        <w:rPr>
          <w:rStyle w:val="C16"/>
          <w:rtl w:val="0"/>
        </w:rPr>
      </w:pPr>
      <w:r>
        <w:rPr>
          <w:rStyle w:val="C16"/>
          <w:rtl w:val="0"/>
        </w:rPr>
        <w:t>Umělecký řezbář, 17.8.2026 20:21:56</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řemesla a umělecká řemesla, sekce uměleckořemeslná, ustavená a licencovaná pro tuto činnost HK ČR a SP ČR.</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 sdružení pro umělecká řemesla, člen HK</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Mendelova univerzita v Brně, </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lidové kultury ve Strážnici</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Jaromír Kaláb,OSVČ/ soudní znalec v oborech dřeva včetně povrchových úprav, restaurátor bez licence</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Jagoš Martin OSVČ/řezbář, restaurátor, umělecký truhlář</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Balajka Adam OSVČ/řezbář, restaurátor, umělecký truhlář</w:t>
      </w:r>
    </w:p>
    <w:p>
      <w:pPr>
        <w:pStyle w:val="P21"/>
        <w:framePr w:w="7654" w:h="331" w:hRule="exact" w:wrap="none" w:vAnchor="page" w:hAnchor="margin" w:x="28" w:y="15940"/>
        <w:rPr>
          <w:rStyle w:val="C16"/>
          <w:rtl w:val="0"/>
        </w:rPr>
      </w:pPr>
      <w:r>
        <w:rPr>
          <w:rStyle w:val="C16"/>
          <w:rtl w:val="0"/>
        </w:rPr>
        <w:t>Umělecký řezbář, 17.8.2026 20:21:56</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