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AB68F5" Type="http://schemas.openxmlformats.org/officeDocument/2006/relationships/officeDocument" Target="/word/document.xml" /><Relationship Id="coreR37AB68F5" Type="http://schemas.openxmlformats.org/package/2006/relationships/metadata/core-properties" Target="/docProps/core.xml" /><Relationship Id="customR37AB68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Umělecký řezbář, 15.6.2026 6:26:38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Při zkoušce uchazeč zhotoví 3 výrobky, a to reliéfní ornament o velikosti 150 x 150 mm, reliéfní řezbu chebskou technikou nejméně o velikosti 200 x 300 mm a prostorový dřevěný řetěz s délkou oka 50 mm (nejméně 4 oka řetězu). Uchazeč předloží na začátku zkoušky autorizované osobě výtvarné návrhy prvních dvou výrobků. Autorizovaná osoba určí, zda bude uchazeč zhotovovat uvedené dva výrobky dle vlastních výtvarných návrhů nebo dle předložené dokumentace, a to v závislosti na úrovni předloženého výtvarného návrhu uchazeče. Předložená dokumentace obsahuje výtvarný návrh, příp. fotografie - v případě zhotovení repliky.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21"/>
        <w:framePr w:w="7654" w:h="331" w:hRule="exact" w:wrap="none" w:vAnchor="page" w:hAnchor="margin" w:x="28" w:y="15940"/>
        <w:rPr>
          <w:rStyle w:val="C16"/>
          <w:rtl w:val="0"/>
        </w:rPr>
      </w:pPr>
      <w:r>
        <w:rPr>
          <w:rStyle w:val="C16"/>
          <w:rtl w:val="0"/>
        </w:rPr>
        <w:t>Umělecký řezbář, 15.6.2026 6:26:38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 člen HK</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Jagoš Martin OSVČ/řezbář, restaurátor, umělecký truhlář</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OSVČ/řezbář, restaurátor, umělecký truhlář</w:t>
      </w:r>
    </w:p>
    <w:p>
      <w:pPr>
        <w:pStyle w:val="P21"/>
        <w:framePr w:w="7654" w:h="331" w:hRule="exact" w:wrap="none" w:vAnchor="page" w:hAnchor="margin" w:x="28" w:y="15940"/>
        <w:rPr>
          <w:rStyle w:val="C16"/>
          <w:rtl w:val="0"/>
        </w:rPr>
      </w:pPr>
      <w:r>
        <w:rPr>
          <w:rStyle w:val="C16"/>
          <w:rtl w:val="0"/>
        </w:rPr>
        <w:t>Umělecký řezbář, 15.6.2026 6:26:38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