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D6AD4" Type="http://schemas.openxmlformats.org/officeDocument/2006/relationships/officeDocument" Target="/word/document.xml" /><Relationship Id="coreR5DFD6AD4" Type="http://schemas.openxmlformats.org/package/2006/relationships/metadata/core-properties" Target="/docProps/core.xml" /><Relationship Id="customR5DFD6A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jednotlivých částí loutky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vodícího a vnitřního mechanismu loutky a anatomické vyvažování loutek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Povrchová úprava loutek včetně dekorace, kašírování a malování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loutek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konkrétní zadání, která umožní ověření všech odborných kompetencí uvedených v hodnoticím standardu. Při zkoušce uchazeč zhotoví loutku bez ošacení pro horní vedení o velikosti 600 až 900 mm podle autorizovanou osobou předloženého výtvarného návrhu v měřítku 1 : 1.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s., sdružení pro umělecká řemesla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lidové kultury ve Strážnici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Kaláb,OSVČ/ soudní znalec v oborech dřeva včetně povrchových úprav, restaurátor bez licence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DiS, OSVČ/Řezbář, restaurátor, umělecký truhlář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