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1550C" Type="http://schemas.openxmlformats.org/officeDocument/2006/relationships/officeDocument" Target="/word/document.xml" /><Relationship Id="coreR4A01550C" Type="http://schemas.openxmlformats.org/package/2006/relationships/metadata/core-properties" Target="/docProps/core.xml" /><Relationship Id="customR4A0155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Košíkář a pletař/košíkářka a pletařka, 28.9.2026 14:45:39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28.9.2026 14:45:39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28.9.2026 14:45:39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pletař/košíkářka a pletařka, 28.9.2026 14:45:39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pletař/košíkářka a pletařka, 28.9.2026 14:45:39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pletař/košíkářka a pletařka + střední vzdělání s maturitní zkouškou a alespoň 5 let odborné praxe v oblasti rukodělné košíkářské a pletařské výroby.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pletař/košíkářka a pletařka, 28.9.2026 14:45:39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pletař/košíkářka a pletařka, 28.9.2026 14:45:39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pletař/košíkářka a pletařka, 28.9.2026 14:45:39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C019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FB0A8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55A8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