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525BB1" Type="http://schemas.openxmlformats.org/officeDocument/2006/relationships/officeDocument" Target="/word/document.xml" /><Relationship Id="coreR23525BB1" Type="http://schemas.openxmlformats.org/package/2006/relationships/metadata/core-properties" Target="/docProps/core.xml" /><Relationship Id="customR23525B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Manažer/manažerka řízení jakosti v polygrafii, 31.7.2026 18:22:17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18:22:17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298" w:hRule="exact" w:wrap="none" w:vAnchor="page" w:hAnchor="margin" w:x="45" w:y="3177"/>
        <w:rPr>
          <w:rStyle w:val="C3"/>
          <w:rtl w:val="0"/>
        </w:rPr>
      </w:pPr>
    </w:p>
    <w:p>
      <w:pPr>
        <w:pStyle w:val="P13"/>
        <w:framePr w:w="6658" w:h="3171" w:hRule="exact" w:wrap="none" w:vAnchor="page" w:hAnchor="margin" w:x="71" w:y="3233"/>
        <w:rPr>
          <w:rStyle w:val="C11"/>
          <w:rtl w:val="0"/>
        </w:rPr>
      </w:pPr>
      <w:r>
        <w:rPr>
          <w:rStyle w:val="C11"/>
          <w:rtl w:val="0"/>
        </w:rPr>
        <w:t>a) Vysvětlit nutnost koordinace všech pracovišť při realizaci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 Výroba tiskové formy</w:t>
        <w:br w:type="textWrapping"/>
        <w:t>- ČSN ISO 12647-2 Tisk ofsetem</w:t>
        <w:br w:type="textWrapping"/>
        <w:t>- ČSN ISO 12647-7 Digitální kontrolní nátisk</w:t>
        <w:br w:type="textWrapping"/>
        <w:t>- ISO 3664 Osvětlení pro vizuální posuzování barevnosti</w:t>
        <w:br w:type="textWrapping"/>
        <w:t>a uvést rozdíl fungování tohoto systému podle norem:</w:t>
        <w:br w:type="textWrapping"/>
        <w:t>- ČSN ISO 12647-6 Flexotisk</w:t>
        <w:br w:type="textWrapping"/>
        <w:t>- ISO 12647-4 Hlubotisk</w:t>
        <w:br w:type="textWrapping"/>
        <w:t>ve smyslu pravidel PSO a směrnic PDF/X-ready</w:t>
      </w:r>
    </w:p>
    <w:p>
      <w:pPr>
        <w:pStyle w:val="P28"/>
        <w:framePr w:w="3921" w:h="3298" w:hRule="exact" w:wrap="none" w:vAnchor="page" w:hAnchor="margin" w:x="6800" w:y="3177"/>
        <w:rPr>
          <w:rStyle w:val="C3"/>
          <w:rtl w:val="0"/>
        </w:rPr>
      </w:pPr>
    </w:p>
    <w:p>
      <w:pPr>
        <w:pStyle w:val="P29"/>
        <w:framePr w:w="3839" w:h="3171"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6475"/>
        <w:rPr>
          <w:rStyle w:val="C3"/>
          <w:rtl w:val="0"/>
        </w:rPr>
      </w:pPr>
    </w:p>
    <w:p>
      <w:pPr>
        <w:pStyle w:val="P17"/>
        <w:framePr w:w="6658" w:h="480" w:hRule="exact" w:wrap="none" w:vAnchor="page" w:hAnchor="margin" w:x="71" w:y="6531"/>
        <w:rPr>
          <w:rStyle w:val="C13"/>
          <w:rtl w:val="0"/>
        </w:rPr>
      </w:pPr>
      <w:r>
        <w:rPr>
          <w:rStyle w:val="C13"/>
          <w:rtl w:val="0"/>
        </w:rPr>
        <w:t>b) Prokázat znalost odborného názvosloví používaného ve všech stupních odborného vzdělávání a v polygrafických normách ČSN ISO</w:t>
      </w:r>
    </w:p>
    <w:p>
      <w:pPr>
        <w:pStyle w:val="P30"/>
        <w:framePr w:w="3921" w:h="607" w:hRule="exact" w:wrap="none" w:vAnchor="page" w:hAnchor="margin" w:x="6800" w:y="6475"/>
        <w:rPr>
          <w:rStyle w:val="C3"/>
          <w:rtl w:val="0"/>
        </w:rPr>
      </w:pPr>
    </w:p>
    <w:p>
      <w:pPr>
        <w:pStyle w:val="P31"/>
        <w:framePr w:w="3839" w:h="480" w:hRule="exact" w:wrap="none" w:vAnchor="page" w:hAnchor="margin" w:x="6856" w:y="6531"/>
        <w:rPr>
          <w:rStyle w:val="C22"/>
          <w:rtl w:val="0"/>
        </w:rPr>
      </w:pPr>
      <w:r>
        <w:rPr>
          <w:rStyle w:val="C22"/>
          <w:rtl w:val="0"/>
        </w:rPr>
        <w:t>Písemné a ústní ověření</w:t>
      </w:r>
    </w:p>
    <w:p>
      <w:pPr>
        <w:pStyle w:val="P12"/>
        <w:framePr w:w="6710" w:h="376" w:hRule="exact" w:wrap="none" w:vAnchor="page" w:hAnchor="margin" w:x="45" w:y="7081"/>
        <w:rPr>
          <w:rStyle w:val="C3"/>
          <w:rtl w:val="0"/>
        </w:rPr>
      </w:pPr>
    </w:p>
    <w:p>
      <w:pPr>
        <w:pStyle w:val="P13"/>
        <w:framePr w:w="6658" w:h="249" w:hRule="exact" w:wrap="none" w:vAnchor="page" w:hAnchor="margin" w:x="71" w:y="7137"/>
        <w:rPr>
          <w:rStyle w:val="C11"/>
          <w:rtl w:val="0"/>
        </w:rPr>
      </w:pPr>
      <w:r>
        <w:rPr>
          <w:rStyle w:val="C11"/>
          <w:rtl w:val="0"/>
        </w:rPr>
        <w:t>c) Předvést důvod zavádění normy ČSN ISO 12637-1</w:t>
      </w:r>
    </w:p>
    <w:p>
      <w:pPr>
        <w:pStyle w:val="P28"/>
        <w:framePr w:w="3921" w:h="376" w:hRule="exact" w:wrap="none" w:vAnchor="page" w:hAnchor="margin" w:x="6800" w:y="7081"/>
        <w:rPr>
          <w:rStyle w:val="C3"/>
          <w:rtl w:val="0"/>
        </w:rPr>
      </w:pPr>
    </w:p>
    <w:p>
      <w:pPr>
        <w:pStyle w:val="P29"/>
        <w:framePr w:w="3839" w:h="249" w:hRule="exact" w:wrap="none" w:vAnchor="page" w:hAnchor="margin" w:x="6856" w:y="7137"/>
        <w:rPr>
          <w:rStyle w:val="C21"/>
          <w:rtl w:val="0"/>
        </w:rPr>
      </w:pPr>
      <w:r>
        <w:rPr>
          <w:rStyle w:val="C21"/>
          <w:rtl w:val="0"/>
        </w:rPr>
        <w:t>Praktické předvedení a ústní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d) Na zadané zakázce předvést koordinaci zpracování technickoekonomických studií, rozborů a prognóz jakosti v polygrafické výrobě</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831" w:hRule="exact" w:wrap="none" w:vAnchor="page" w:hAnchor="margin" w:x="45" w:y="8289"/>
        <w:rPr>
          <w:rStyle w:val="C3"/>
          <w:rtl w:val="0"/>
        </w:rPr>
      </w:pPr>
    </w:p>
    <w:p>
      <w:pPr>
        <w:pStyle w:val="P13"/>
        <w:framePr w:w="6658" w:h="704" w:hRule="exact" w:wrap="none" w:vAnchor="page" w:hAnchor="margin" w:x="71" w:y="8345"/>
        <w:rPr>
          <w:rStyle w:val="C11"/>
          <w:rtl w:val="0"/>
        </w:rPr>
      </w:pPr>
      <w:r>
        <w:rPr>
          <w:rStyle w:val="C11"/>
          <w:rtl w:val="0"/>
        </w:rPr>
        <w:t>e) Použít správnou polygrafickou terminologii a v zadaném textu nahradit nesprávné pojmy z oblasti polygrafie, vysvětlit jejich vliv na srozumitelnost a jednoznačnost integrovaného systému řízení kvality</w:t>
      </w:r>
    </w:p>
    <w:p>
      <w:pPr>
        <w:pStyle w:val="P28"/>
        <w:framePr w:w="3921" w:h="831" w:hRule="exact" w:wrap="none" w:vAnchor="page" w:hAnchor="margin" w:x="6800" w:y="8289"/>
        <w:rPr>
          <w:rStyle w:val="C3"/>
          <w:rtl w:val="0"/>
        </w:rPr>
      </w:pPr>
    </w:p>
    <w:p>
      <w:pPr>
        <w:pStyle w:val="P29"/>
        <w:framePr w:w="3839" w:h="704" w:hRule="exact" w:wrap="none" w:vAnchor="page" w:hAnchor="margin" w:x="6856" w:y="8345"/>
        <w:rPr>
          <w:rStyle w:val="C21"/>
          <w:rtl w:val="0"/>
        </w:rPr>
      </w:pPr>
      <w:r>
        <w:rPr>
          <w:rStyle w:val="C21"/>
          <w:rtl w:val="0"/>
        </w:rPr>
        <w:t>Praktické předvedení a ústní ověření</w:t>
      </w:r>
    </w:p>
    <w:p>
      <w:pPr>
        <w:pStyle w:val="P32"/>
        <w:framePr w:w="10710" w:h="248" w:hRule="exact" w:wrap="none" w:vAnchor="page" w:hAnchor="margin" w:x="28" w:y="9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18:22:17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a) Posoudit vliv následujících parametrů kvality v metodice řízení vstupní kontroly:</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vůči parametrům stanoveným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401" w:hRule="exact" w:wrap="none" w:vAnchor="page" w:hAnchor="margin" w:x="45" w:y="6426"/>
        <w:rPr>
          <w:rStyle w:val="C3"/>
          <w:rtl w:val="0"/>
        </w:rPr>
      </w:pPr>
    </w:p>
    <w:p>
      <w:pPr>
        <w:pStyle w:val="P13"/>
        <w:framePr w:w="6658" w:h="2274" w:hRule="exact" w:wrap="none" w:vAnchor="page" w:hAnchor="margin" w:x="71" w:y="6482"/>
        <w:rPr>
          <w:rStyle w:val="C11"/>
          <w:rtl w:val="0"/>
        </w:rPr>
      </w:pPr>
      <w:r>
        <w:rPr>
          <w:rStyle w:val="C11"/>
          <w:rtl w:val="0"/>
        </w:rPr>
        <w:t>c) Vysvětlit vliv seřízení následujících zařízení a prvků na metodiku řízení vstupní kontroly:</w:t>
        <w:br w:type="textWrapping"/>
        <w:t>- měřicích přístrojů (kolorimetrie, metamerie)</w:t>
        <w:br w:type="textWrapping"/>
        <w:t>- nástrojů (momentové klíče, přípravky, kalibry)</w:t>
        <w:br w:type="textWrapping"/>
        <w:t>- cejchovacích podkladů (karty pro kolorimetry, metamerii)</w:t>
        <w:br w:type="textWrapping"/>
        <w:t>- kontrolních prvků (pro systematické řízení procesu podle PSO)</w:t>
        <w:br w:type="textWrapping"/>
        <w:t>- displejů (pro kontrolní nátisk na displeji podle ČSN ISO 12646)</w:t>
        <w:br w:type="textWrapping"/>
        <w:t>- osvětlení displeje a prostředí (podle ČSN ISO 12646, ISO 3664)</w:t>
        <w:br w:type="textWrapping"/>
        <w:t>- osvětlení náhledového boxu a jeho prostředí (podle ISO 3664)</w:t>
        <w:br w:type="textWrapping"/>
        <w:t>- osvětlení ovládacího pultu (podle ISO 3664 a podkladů PSO)</w:t>
      </w:r>
    </w:p>
    <w:p>
      <w:pPr>
        <w:pStyle w:val="P28"/>
        <w:framePr w:w="3921" w:h="2401" w:hRule="exact" w:wrap="none" w:vAnchor="page" w:hAnchor="margin" w:x="6800" w:y="6426"/>
        <w:rPr>
          <w:rStyle w:val="C3"/>
          <w:rtl w:val="0"/>
        </w:rPr>
      </w:pPr>
    </w:p>
    <w:p>
      <w:pPr>
        <w:pStyle w:val="P29"/>
        <w:framePr w:w="3839" w:h="2274"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8826"/>
        <w:rPr>
          <w:rStyle w:val="C3"/>
          <w:rtl w:val="0"/>
        </w:rPr>
      </w:pPr>
    </w:p>
    <w:p>
      <w:pPr>
        <w:pStyle w:val="P17"/>
        <w:framePr w:w="6658" w:h="928" w:hRule="exact" w:wrap="none" w:vAnchor="page" w:hAnchor="margin" w:x="71" w:y="8882"/>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8826"/>
        <w:rPr>
          <w:rStyle w:val="C3"/>
          <w:rtl w:val="0"/>
        </w:rPr>
      </w:pPr>
    </w:p>
    <w:p>
      <w:pPr>
        <w:pStyle w:val="P31"/>
        <w:framePr w:w="3839" w:h="928" w:hRule="exact" w:wrap="none" w:vAnchor="page" w:hAnchor="margin" w:x="6856" w:y="8882"/>
        <w:rPr>
          <w:rStyle w:val="C22"/>
          <w:rtl w:val="0"/>
        </w:rPr>
      </w:pPr>
      <w:r>
        <w:rPr>
          <w:rStyle w:val="C22"/>
          <w:rtl w:val="0"/>
        </w:rPr>
        <w:t>Písemné a ústní ověření</w:t>
      </w:r>
    </w:p>
    <w:p>
      <w:pPr>
        <w:pStyle w:val="P12"/>
        <w:framePr w:w="6710" w:h="831" w:hRule="exact" w:wrap="none" w:vAnchor="page" w:hAnchor="margin" w:x="45" w:y="9882"/>
        <w:rPr>
          <w:rStyle w:val="C3"/>
          <w:rtl w:val="0"/>
        </w:rPr>
      </w:pPr>
    </w:p>
    <w:p>
      <w:pPr>
        <w:pStyle w:val="P13"/>
        <w:framePr w:w="6658" w:h="704" w:hRule="exact" w:wrap="none" w:vAnchor="page" w:hAnchor="margin" w:x="71" w:y="9938"/>
        <w:rPr>
          <w:rStyle w:val="C11"/>
          <w:rtl w:val="0"/>
        </w:rPr>
      </w:pPr>
      <w:r>
        <w:rPr>
          <w:rStyle w:val="C11"/>
          <w:rtl w:val="0"/>
        </w:rPr>
        <w:t>e) V metodice řízení vstupní kontroly vysvětlit vliv vstupních kvalitativních parametrů nastavení osvitové jednotky a automatu na vyvolávání tiskových desek podle podkladů výrobce, kontrolních prvků a podkladů pro PSO</w:t>
      </w:r>
    </w:p>
    <w:p>
      <w:pPr>
        <w:pStyle w:val="P28"/>
        <w:framePr w:w="3921" w:h="831" w:hRule="exact" w:wrap="none" w:vAnchor="page" w:hAnchor="margin" w:x="6800" w:y="9882"/>
        <w:rPr>
          <w:rStyle w:val="C3"/>
          <w:rtl w:val="0"/>
        </w:rPr>
      </w:pPr>
    </w:p>
    <w:p>
      <w:pPr>
        <w:pStyle w:val="P29"/>
        <w:framePr w:w="3839" w:h="704" w:hRule="exact" w:wrap="none" w:vAnchor="page" w:hAnchor="margin" w:x="6856" w:y="9938"/>
        <w:rPr>
          <w:rStyle w:val="C21"/>
          <w:rtl w:val="0"/>
        </w:rPr>
      </w:pPr>
      <w:r>
        <w:rPr>
          <w:rStyle w:val="C21"/>
          <w:rtl w:val="0"/>
        </w:rPr>
        <w:t>Písemné a ústní ověření</w:t>
      </w:r>
    </w:p>
    <w:p>
      <w:pPr>
        <w:pStyle w:val="P16"/>
        <w:framePr w:w="6710" w:h="831" w:hRule="exact" w:wrap="none" w:vAnchor="page" w:hAnchor="margin" w:x="45" w:y="10713"/>
        <w:rPr>
          <w:rStyle w:val="C3"/>
          <w:rtl w:val="0"/>
        </w:rPr>
      </w:pPr>
    </w:p>
    <w:p>
      <w:pPr>
        <w:pStyle w:val="P17"/>
        <w:framePr w:w="6658" w:h="704" w:hRule="exact" w:wrap="none" w:vAnchor="page" w:hAnchor="margin" w:x="71" w:y="10769"/>
        <w:rPr>
          <w:rStyle w:val="C13"/>
          <w:rtl w:val="0"/>
        </w:rPr>
      </w:pPr>
      <w:r>
        <w:rPr>
          <w:rStyle w:val="C13"/>
          <w:rtl w:val="0"/>
        </w:rPr>
        <w:t>f) Vysvětlit vliv technických parametrů tiskového stroje podle směrnice BVDM (Německý spolek svazu tisku a médií) pro přejímku/kondiční prohlídku aktuálního tiskového stroje na metodiku řízení vstupní kontroly</w:t>
      </w:r>
    </w:p>
    <w:p>
      <w:pPr>
        <w:pStyle w:val="P30"/>
        <w:framePr w:w="3921" w:h="831" w:hRule="exact" w:wrap="none" w:vAnchor="page" w:hAnchor="margin" w:x="6800" w:y="10713"/>
        <w:rPr>
          <w:rStyle w:val="C3"/>
          <w:rtl w:val="0"/>
        </w:rPr>
      </w:pPr>
    </w:p>
    <w:p>
      <w:pPr>
        <w:pStyle w:val="P31"/>
        <w:framePr w:w="3839" w:h="704" w:hRule="exact" w:wrap="none" w:vAnchor="page" w:hAnchor="margin" w:x="6856" w:y="10769"/>
        <w:rPr>
          <w:rStyle w:val="C22"/>
          <w:rtl w:val="0"/>
        </w:rPr>
      </w:pPr>
      <w:r>
        <w:rPr>
          <w:rStyle w:val="C22"/>
          <w:rtl w:val="0"/>
        </w:rPr>
        <w:t>Písemné a ústní ověření</w:t>
      </w:r>
    </w:p>
    <w:p>
      <w:pPr>
        <w:pStyle w:val="P32"/>
        <w:framePr w:w="10710" w:h="248" w:hRule="exact" w:wrap="none" w:vAnchor="page" w:hAnchor="margin" w:x="28" w:y="116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18:22:17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d) Zhodnotit mezioperační kontrolu:</w:t>
        <w:br w:type="textWrapping"/>
        <w:t>- potiskovaných materiálů</w:t>
        <w:br w:type="textWrapping"/>
        <w:t>- procesních, sekundárních a terciárních tiskových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reprodukovatelného tónového rozsahu</w:t>
        <w:br w:type="textWrapping"/>
        <w:t>vůči parametrům předepsaným:</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Metodické řízení výstupní kontroly v polygrafické výrobě</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2176" w:hRule="exact" w:wrap="none" w:vAnchor="page" w:hAnchor="margin" w:x="45" w:y="11919"/>
        <w:rPr>
          <w:rStyle w:val="C3"/>
          <w:rtl w:val="0"/>
        </w:rPr>
      </w:pPr>
    </w:p>
    <w:p>
      <w:pPr>
        <w:pStyle w:val="P13"/>
        <w:framePr w:w="6658" w:h="2049" w:hRule="exact" w:wrap="none" w:vAnchor="page" w:hAnchor="margin" w:x="71" w:y="11975"/>
        <w:rPr>
          <w:rStyle w:val="C11"/>
          <w:rtl w:val="0"/>
        </w:rPr>
      </w:pPr>
      <w:r>
        <w:rPr>
          <w:rStyle w:val="C11"/>
          <w:rtl w:val="0"/>
        </w:rPr>
        <w:t xml:space="preserve">a) Vysvětlit systematičnost řízení výstupní kontroly v systému PSO zaměřenou na výstupní parametry kvality podle normy: </w:t>
        <w:tab/>
        <w:br w:type="textWrapping"/>
        <w:t>- ČSN ISO 12647-2 Tisk ofsetem (Archový a akcidenční ofsetový tisk)</w:t>
        <w:br w:type="textWrapping"/>
        <w:t>a v případě specializace alternativně pro normy:</w:t>
        <w:br w:type="textWrapping"/>
        <w:t>- ČSN ISO 12647-3 Ofsetový novinový tisk</w:t>
        <w:br w:type="textWrapping"/>
        <w:t>- ČSN ISO 12647-7 Digitální tisk</w:t>
        <w:br w:type="textWrapping"/>
        <w:t>- ČSN ISO 12647-6 Flexotisk</w:t>
        <w:br w:type="textWrapping"/>
        <w:t>- ISO 12647-4 Hlubotisk</w:t>
        <w:br w:type="textWrapping"/>
        <w:t>- ISO 12647-5 Sítotisk</w:t>
      </w:r>
    </w:p>
    <w:p>
      <w:pPr>
        <w:pStyle w:val="P28"/>
        <w:framePr w:w="3921" w:h="2176" w:hRule="exact" w:wrap="none" w:vAnchor="page" w:hAnchor="margin" w:x="6800" w:y="11919"/>
        <w:rPr>
          <w:rStyle w:val="C3"/>
          <w:rtl w:val="0"/>
        </w:rPr>
      </w:pPr>
    </w:p>
    <w:p>
      <w:pPr>
        <w:pStyle w:val="P29"/>
        <w:framePr w:w="3839" w:h="2049" w:hRule="exact" w:wrap="none" w:vAnchor="page" w:hAnchor="margin" w:x="6856" w:y="11975"/>
        <w:rPr>
          <w:rStyle w:val="C21"/>
          <w:rtl w:val="0"/>
        </w:rPr>
      </w:pPr>
      <w:r>
        <w:rPr>
          <w:rStyle w:val="C21"/>
          <w:rtl w:val="0"/>
        </w:rPr>
        <w:t>Písemné a ústní ověření</w:t>
      </w:r>
    </w:p>
    <w:p>
      <w:pPr>
        <w:pStyle w:val="P16"/>
        <w:framePr w:w="6710" w:h="831" w:hRule="exact" w:wrap="none" w:vAnchor="page" w:hAnchor="margin" w:x="45" w:y="14095"/>
        <w:rPr>
          <w:rStyle w:val="C3"/>
          <w:rtl w:val="0"/>
        </w:rPr>
      </w:pPr>
    </w:p>
    <w:p>
      <w:pPr>
        <w:pStyle w:val="P17"/>
        <w:framePr w:w="6658" w:h="704" w:hRule="exact" w:wrap="none" w:vAnchor="page" w:hAnchor="margin" w:x="71" w:y="14151"/>
        <w:rPr>
          <w:rStyle w:val="C13"/>
          <w:rtl w:val="0"/>
        </w:rPr>
      </w:pPr>
      <w:r>
        <w:rPr>
          <w:rStyle w:val="C13"/>
          <w:rtl w:val="0"/>
        </w:rPr>
        <w:t xml:space="preserve">b) Posoudit důležitost úkonů pro zjišťování příčin snížené kvality polygrafických výrobků a realizaci opatření vedoucích k dosažení žádoucí kvality tisku při fungování systému </w:t>
        <w:tab/>
        <w:t>řízení jakosti podle PSO</w:t>
      </w:r>
    </w:p>
    <w:p>
      <w:pPr>
        <w:pStyle w:val="P30"/>
        <w:framePr w:w="3921" w:h="831" w:hRule="exact" w:wrap="none" w:vAnchor="page" w:hAnchor="margin" w:x="6800" w:y="14095"/>
        <w:rPr>
          <w:rStyle w:val="C3"/>
          <w:rtl w:val="0"/>
        </w:rPr>
      </w:pPr>
    </w:p>
    <w:p>
      <w:pPr>
        <w:pStyle w:val="P31"/>
        <w:framePr w:w="3839" w:h="704" w:hRule="exact" w:wrap="none" w:vAnchor="page" w:hAnchor="margin" w:x="6856" w:y="14151"/>
        <w:rPr>
          <w:rStyle w:val="C22"/>
          <w:rtl w:val="0"/>
        </w:rPr>
      </w:pPr>
      <w:r>
        <w:rPr>
          <w:rStyle w:val="C22"/>
          <w:rtl w:val="0"/>
        </w:rPr>
        <w:t>Praktické předvedení</w:t>
      </w:r>
    </w:p>
    <w:p>
      <w:pPr>
        <w:pStyle w:val="P12"/>
        <w:framePr w:w="6710" w:h="607" w:hRule="exact" w:wrap="none" w:vAnchor="page" w:hAnchor="margin" w:x="45" w:y="14926"/>
        <w:rPr>
          <w:rStyle w:val="C3"/>
          <w:rtl w:val="0"/>
        </w:rPr>
      </w:pPr>
    </w:p>
    <w:p>
      <w:pPr>
        <w:pStyle w:val="P13"/>
        <w:framePr w:w="6658" w:h="480" w:hRule="exact" w:wrap="none" w:vAnchor="page" w:hAnchor="margin" w:x="71" w:y="14982"/>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14926"/>
        <w:rPr>
          <w:rStyle w:val="C3"/>
          <w:rtl w:val="0"/>
        </w:rPr>
      </w:pPr>
    </w:p>
    <w:p>
      <w:pPr>
        <w:pStyle w:val="P29"/>
        <w:framePr w:w="3839" w:h="480" w:hRule="exact" w:wrap="none" w:vAnchor="page" w:hAnchor="margin" w:x="6856" w:y="14982"/>
        <w:rPr>
          <w:rStyle w:val="C21"/>
          <w:rtl w:val="0"/>
        </w:rPr>
      </w:pPr>
      <w:r>
        <w:rPr>
          <w:rStyle w:val="C21"/>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18:22:17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důležitost metodicky řízené normalizace a zkušebnictví v polygrafické výrobě pro integrovaný systém řízení jakosti PSO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1728" w:hRule="exact" w:wrap="none" w:vAnchor="page" w:hAnchor="margin" w:x="45" w:y="5239"/>
        <w:rPr>
          <w:rStyle w:val="C3"/>
          <w:rtl w:val="0"/>
        </w:rPr>
      </w:pPr>
    </w:p>
    <w:p>
      <w:pPr>
        <w:pStyle w:val="P17"/>
        <w:framePr w:w="6658" w:h="1601" w:hRule="exact" w:wrap="none" w:vAnchor="page" w:hAnchor="margin" w:x="71" w:y="5295"/>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 pro další tiskové techniky</w:t>
        <w:br w:type="textWrapping"/>
        <w:t>a uvést vliv jednoho volně zvoleného parametru na provozování integrovaného systému řízení jakosti</w:t>
      </w:r>
    </w:p>
    <w:p>
      <w:pPr>
        <w:pStyle w:val="P30"/>
        <w:framePr w:w="3921" w:h="1728" w:hRule="exact" w:wrap="none" w:vAnchor="page" w:hAnchor="margin" w:x="6800" w:y="5239"/>
        <w:rPr>
          <w:rStyle w:val="C3"/>
          <w:rtl w:val="0"/>
        </w:rPr>
      </w:pPr>
    </w:p>
    <w:p>
      <w:pPr>
        <w:pStyle w:val="P31"/>
        <w:framePr w:w="3839" w:h="1601"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Praktické předvedení a ústní ověření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Na zadané zakázce stanovit způsoby hodnocení a třídění jakosti a přejímacích podmínek v polygrafické výrobě</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Vysvětlit, proč je pro hodnocení a třídění jakosti a stanovování přejímacích podmínek v polygrafické výrobě důležité stanovení standardní požadované kvality tiskových dat</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Písemné a ústní ověření</w:t>
      </w:r>
    </w:p>
    <w:p>
      <w:pPr>
        <w:pStyle w:val="P12"/>
        <w:framePr w:w="6710" w:h="831" w:hRule="exact" w:wrap="none" w:vAnchor="page" w:hAnchor="margin" w:x="45" w:y="10824"/>
        <w:rPr>
          <w:rStyle w:val="C3"/>
          <w:rtl w:val="0"/>
        </w:rPr>
      </w:pPr>
    </w:p>
    <w:p>
      <w:pPr>
        <w:pStyle w:val="P13"/>
        <w:framePr w:w="6658" w:h="704" w:hRule="exact" w:wrap="none" w:vAnchor="page" w:hAnchor="margin" w:x="71" w:y="10880"/>
        <w:rPr>
          <w:rStyle w:val="C11"/>
          <w:rtl w:val="0"/>
        </w:rPr>
      </w:pPr>
      <w:r>
        <w:rPr>
          <w:rStyle w:val="C11"/>
          <w:rtl w:val="0"/>
        </w:rPr>
        <w:t>c) Vysvětlit, proč je pro hodnocení a třídění jakosti a stanovování přejímacích podmínek v polygrafické výrobě důležité stanovení standardní požadované kvality kontrolního nátisku</w:t>
      </w:r>
    </w:p>
    <w:p>
      <w:pPr>
        <w:pStyle w:val="P28"/>
        <w:framePr w:w="3921" w:h="831" w:hRule="exact" w:wrap="none" w:vAnchor="page" w:hAnchor="margin" w:x="6800" w:y="10824"/>
        <w:rPr>
          <w:rStyle w:val="C3"/>
          <w:rtl w:val="0"/>
        </w:rPr>
      </w:pPr>
    </w:p>
    <w:p>
      <w:pPr>
        <w:pStyle w:val="P29"/>
        <w:framePr w:w="3839" w:h="704" w:hRule="exact" w:wrap="none" w:vAnchor="page" w:hAnchor="margin" w:x="6856" w:y="10880"/>
        <w:rPr>
          <w:rStyle w:val="C21"/>
          <w:rtl w:val="0"/>
        </w:rPr>
      </w:pPr>
      <w:r>
        <w:rPr>
          <w:rStyle w:val="C21"/>
          <w:rtl w:val="0"/>
        </w:rPr>
        <w:t>Písemné a ústní ověření</w:t>
      </w:r>
    </w:p>
    <w:p>
      <w:pPr>
        <w:pStyle w:val="P16"/>
        <w:framePr w:w="6710" w:h="831" w:hRule="exact" w:wrap="none" w:vAnchor="page" w:hAnchor="margin" w:x="45" w:y="11656"/>
        <w:rPr>
          <w:rStyle w:val="C3"/>
          <w:rtl w:val="0"/>
        </w:rPr>
      </w:pPr>
    </w:p>
    <w:p>
      <w:pPr>
        <w:pStyle w:val="P17"/>
        <w:framePr w:w="6658" w:h="704" w:hRule="exact" w:wrap="none" w:vAnchor="page" w:hAnchor="margin" w:x="71" w:y="11712"/>
        <w:rPr>
          <w:rStyle w:val="C13"/>
          <w:rtl w:val="0"/>
        </w:rPr>
      </w:pPr>
      <w:r>
        <w:rPr>
          <w:rStyle w:val="C13"/>
          <w:rtl w:val="0"/>
        </w:rPr>
        <w:t>d) Vysvětlit, proč je pro hodnocení a třídění jakosti a stanovování přejímacích podmínek v polygrafické výrobě důležité stanovení standardní požadované kvality nehmotného kontrolního nátisku na displeji</w:t>
      </w:r>
    </w:p>
    <w:p>
      <w:pPr>
        <w:pStyle w:val="P30"/>
        <w:framePr w:w="3921" w:h="831" w:hRule="exact" w:wrap="none" w:vAnchor="page" w:hAnchor="margin" w:x="6800" w:y="11656"/>
        <w:rPr>
          <w:rStyle w:val="C3"/>
          <w:rtl w:val="0"/>
        </w:rPr>
      </w:pPr>
    </w:p>
    <w:p>
      <w:pPr>
        <w:pStyle w:val="P31"/>
        <w:framePr w:w="3839" w:h="704" w:hRule="exact" w:wrap="none" w:vAnchor="page" w:hAnchor="margin" w:x="6856" w:y="11712"/>
        <w:rPr>
          <w:rStyle w:val="C22"/>
          <w:rtl w:val="0"/>
        </w:rPr>
      </w:pPr>
      <w:r>
        <w:rPr>
          <w:rStyle w:val="C22"/>
          <w:rtl w:val="0"/>
        </w:rPr>
        <w:t>Písemné a ústní ověření</w:t>
      </w:r>
    </w:p>
    <w:p>
      <w:pPr>
        <w:pStyle w:val="P12"/>
        <w:framePr w:w="6710" w:h="831" w:hRule="exact" w:wrap="none" w:vAnchor="page" w:hAnchor="margin" w:x="45" w:y="12487"/>
        <w:rPr>
          <w:rStyle w:val="C3"/>
          <w:rtl w:val="0"/>
        </w:rPr>
      </w:pPr>
    </w:p>
    <w:p>
      <w:pPr>
        <w:pStyle w:val="P13"/>
        <w:framePr w:w="6658" w:h="704" w:hRule="exact" w:wrap="none" w:vAnchor="page" w:hAnchor="margin" w:x="71" w:y="12543"/>
        <w:rPr>
          <w:rStyle w:val="C11"/>
          <w:rtl w:val="0"/>
        </w:rPr>
      </w:pPr>
      <w:r>
        <w:rPr>
          <w:rStyle w:val="C11"/>
          <w:rtl w:val="0"/>
        </w:rPr>
        <w:t>e) Vysvětlit, proč je pro hodnocení a třídění jakosti a stanovování přejímacích podmínek v polygrafické výrobě důležité stanovení standardní požadované kvality tisku</w:t>
      </w:r>
    </w:p>
    <w:p>
      <w:pPr>
        <w:pStyle w:val="P28"/>
        <w:framePr w:w="3921" w:h="831" w:hRule="exact" w:wrap="none" w:vAnchor="page" w:hAnchor="margin" w:x="6800" w:y="12487"/>
        <w:rPr>
          <w:rStyle w:val="C3"/>
          <w:rtl w:val="0"/>
        </w:rPr>
      </w:pPr>
    </w:p>
    <w:p>
      <w:pPr>
        <w:pStyle w:val="P29"/>
        <w:framePr w:w="3839" w:h="704" w:hRule="exact" w:wrap="none" w:vAnchor="page" w:hAnchor="margin" w:x="6856" w:y="12543"/>
        <w:rPr>
          <w:rStyle w:val="C21"/>
          <w:rtl w:val="0"/>
        </w:rPr>
      </w:pPr>
      <w:r>
        <w:rPr>
          <w:rStyle w:val="C21"/>
          <w:rtl w:val="0"/>
        </w:rPr>
        <w:t>Písemné a ústní ověření</w:t>
      </w:r>
    </w:p>
    <w:p>
      <w:pPr>
        <w:pStyle w:val="P16"/>
        <w:framePr w:w="6710" w:h="831" w:hRule="exact" w:wrap="none" w:vAnchor="page" w:hAnchor="margin" w:x="45" w:y="13318"/>
        <w:rPr>
          <w:rStyle w:val="C3"/>
          <w:rtl w:val="0"/>
        </w:rPr>
      </w:pPr>
    </w:p>
    <w:p>
      <w:pPr>
        <w:pStyle w:val="P17"/>
        <w:framePr w:w="6658" w:h="704" w:hRule="exact" w:wrap="none" w:vAnchor="page" w:hAnchor="margin" w:x="71" w:y="13374"/>
        <w:rPr>
          <w:rStyle w:val="C13"/>
          <w:rtl w:val="0"/>
        </w:rPr>
      </w:pPr>
      <w:r>
        <w:rPr>
          <w:rStyle w:val="C13"/>
          <w:rtl w:val="0"/>
        </w:rPr>
        <w:t>f) Vysvětlit, proč je pro hodnocení a třídění jakosti a stanovování přejímacích podmínek v polygrafické výrobě důležité stanovení standardní požadované kvality dokončovacího zpracování</w:t>
      </w:r>
    </w:p>
    <w:p>
      <w:pPr>
        <w:pStyle w:val="P30"/>
        <w:framePr w:w="3921" w:h="831" w:hRule="exact" w:wrap="none" w:vAnchor="page" w:hAnchor="margin" w:x="6800" w:y="13318"/>
        <w:rPr>
          <w:rStyle w:val="C3"/>
          <w:rtl w:val="0"/>
        </w:rPr>
      </w:pPr>
    </w:p>
    <w:p>
      <w:pPr>
        <w:pStyle w:val="P31"/>
        <w:framePr w:w="3839" w:h="704" w:hRule="exact" w:wrap="none" w:vAnchor="page" w:hAnchor="margin" w:x="6856" w:y="13374"/>
        <w:rPr>
          <w:rStyle w:val="C22"/>
          <w:rtl w:val="0"/>
        </w:rPr>
      </w:pPr>
      <w:r>
        <w:rPr>
          <w:rStyle w:val="C22"/>
          <w:rtl w:val="0"/>
        </w:rPr>
        <w:t>Písemné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18:22:17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zadané zakázce předvést 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a ústní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Navrhnout úkony vedoucí k tomu, aby všichni pracovníci výrobního procesu byli připraveni k provozování integrovaného systému řízení jakosti v závislosti na organizační struktuře firmy, na aktuálních podmínkách jejího hardwarového a softwarového vybavení a na zaměření firemní činnosti</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6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18:22:17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https://nsp.cz/jednotka-prace/polygraficky-inzenyr-prac#zdravotni-zpusobilost).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nesmí pouze trpět poruchami vidění (barvocitu), protože součástí jeho práce je i vizuální posuzování a porovnávání tisků.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Zkratka PSO (ProzessStandardOffset) znamená "standardizaci ofsetových tiskových procesů" (zkráceně "standardizaci ofsetu"). Je to systém nasazení příslušných polygrafických ISO norem do praxe.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nutné prověřovat podle aktuálně platných norem: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331" w:hRule="exact" w:wrap="none" w:vAnchor="page" w:hAnchor="margin" w:x="28" w:y="15940"/>
        <w:rPr>
          <w:rStyle w:val="C16"/>
          <w:rtl w:val="0"/>
        </w:rPr>
      </w:pPr>
      <w:r>
        <w:rPr>
          <w:rStyle w:val="C16"/>
          <w:rtl w:val="0"/>
        </w:rPr>
        <w:t>Manažer/manažerka řízení jakosti v polygrafii, 31.7.2026 18:22:17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6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řízení jakosti v polygrafii, 31.7.2026 18:22:17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Manažer/manažerka řízení jakosti v polygrafii, 31.7.2026 18:22:18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Manažer/manažerka řízení jakosti v polygrafii, 31.7.2026 18:22:18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644D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60AA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81DE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