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4ACF8" Type="http://schemas.openxmlformats.org/officeDocument/2006/relationships/officeDocument" Target="/word/document.xml" /><Relationship Id="coreR6A84ACF8" Type="http://schemas.openxmlformats.org/package/2006/relationships/metadata/core-properties" Target="/docProps/core.xml" /><Relationship Id="customR6A84AC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polygrafický technik pracovník / samostatná polygrafická technička pracovnice řízení jakosti (kód: 34-044-R)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Polygrafie, zpracování papíru, filmu a fotografie (kód: 34)</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polygrafický technik pracovník řízení jakosti</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4</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Metodické řízení vstupní kontroly v polygrafické výrobě</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Metodické řízení mezioperační kontroly v polygrafické výrobě</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Metodické řízení výstupní kontroly v polygrafické výrobě</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Stanovování kvality polygrafických výrobků</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7"/>
        <w:framePr w:w="8788" w:h="340" w:hRule="exact" w:wrap="none" w:vAnchor="page" w:hAnchor="margin" w:x="28" w:y="8618"/>
        <w:rPr>
          <w:rStyle w:val="C8"/>
          <w:rtl w:val="0"/>
        </w:rPr>
      </w:pPr>
      <w:r>
        <w:rPr>
          <w:rStyle w:val="C8"/>
          <w:rtl w:val="0"/>
        </w:rPr>
        <w:t>Platnost standardu</w:t>
      </w:r>
    </w:p>
    <w:p>
      <w:pPr>
        <w:pStyle w:val="P20"/>
        <w:framePr w:w="2928" w:h="248" w:hRule="exact" w:wrap="none" w:vAnchor="page" w:hAnchor="margin" w:x="28" w:y="895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409" w:hRule="exact" w:wrap="none" w:vAnchor="page" w:hAnchor="margin" w:x="28" w:y="15861"/>
        <w:rPr>
          <w:rStyle w:val="C16"/>
          <w:rtl w:val="0"/>
        </w:rPr>
      </w:pPr>
      <w:r>
        <w:rPr>
          <w:rStyle w:val="C16"/>
          <w:rtl w:val="0"/>
        </w:rPr>
        <w:t>Samostatný polygrafický technik pracovník / samostatná polygrafická technička pracovnice řízení jakosti, 20.10.2026 11:47:50</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464C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CFCA5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A9C0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398D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