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8C3F0" Type="http://schemas.openxmlformats.org/officeDocument/2006/relationships/officeDocument" Target="/word/document.xml" /><Relationship Id="coreRD28C3F0" Type="http://schemas.openxmlformats.org/package/2006/relationships/metadata/core-properties" Target="/docProps/core.xml" /><Relationship Id="customRD28C3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estetických zákonitostech a stylech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30.9.2026 1:43:37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(odkaz na povolání v NSP - https://nsp.cz/jednotka-prace/florista#zdravotni-zpusobilost).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se respektuje průběh vegetačního roku, tzn. vše se kumuluje tak, aby jednotlivé kompetence byly ověřovány v nejpříhodnějším období v závislosti na vegetačním období, počasí a vývoji rostlin.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postupuje vzestupně od jednodušších ke složitějším.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pro splnění kritérií použijí zhotovené výrobky během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aranžmá předvést na modelové situaci, není nutné aranžování přímo auta.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30.9.2026 1:43:37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z.s.,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30.9.2026 1:43:37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