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8C14EC" Type="http://schemas.openxmlformats.org/officeDocument/2006/relationships/officeDocument" Target="/word/document.xml" /><Relationship Id="coreR6F8C14EC" Type="http://schemas.openxmlformats.org/package/2006/relationships/metadata/core-properties" Target="/docProps/core.xml" /><Relationship Id="customR6F8C14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symbolice smutečního aranžmá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estetických zákonitostech a stylech smuteční floristiky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návrhů smutečního aranžmá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smutečních dekorací, věnců, kytic a smuteční výsadby v nádobách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rakve a zdobení uren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Aranžování prostorů a věcí pro pohřební nebo vzpomínkové obřady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30.9.2026 7:38:10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(odkaz na povolání v NSP - https://nsp.cz/jednotka-prace/florista#zdravotni-zpusobilost).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se respektuje průběh vegetačního roku, tzn. vše se kumuluje tak, aby jednotlivé kompetence byly ověřovány v nejpříhodnějším období v závislosti na vegetačním období, počasí a vývoji rostlin.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postupuje vzestupně od jednodušších ke složitějším.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pro splnění kritérií použijí zhotovené výrobky během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Aranžování prostorů a věcí pro pohřební nebo vzpomínkové obřady,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aranžmá předvést na modelové situaci, není nutné aranžování přímo auta.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30.9.2026 7:38:10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z.s.,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aranžér/aranžérka, 30.9.2026 7:38:10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