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B919BDA" Type="http://schemas.openxmlformats.org/officeDocument/2006/relationships/officeDocument" Target="/word/document.xml" /><Relationship Id="coreR1B919BDA" Type="http://schemas.openxmlformats.org/package/2006/relationships/metadata/core-properties" Target="/docProps/core.xml" /><Relationship Id="customR1B919BD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Doprovázení umírajících a pozůstalých (kód: 69-056-M)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Sebereflexe doprovázejícího</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rituálech souvisejících se smrtí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Doprovázení umírajících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Doprovázení pozůstalých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Vypravování pohřbu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Základní orientace v oblasti postmortálních práv</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Vykonávání poslední vůle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5</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14.10.2015 do: 06.12.2020</w:t>
      </w:r>
    </w:p>
    <w:p>
      <w:pPr>
        <w:pStyle w:val="P21"/>
        <w:framePr w:w="7654" w:h="331" w:hRule="exact" w:wrap="none" w:vAnchor="page" w:hAnchor="margin" w:x="28" w:y="15940"/>
        <w:rPr>
          <w:rStyle w:val="C16"/>
          <w:rtl w:val="0"/>
        </w:rPr>
      </w:pPr>
      <w:r>
        <w:rPr>
          <w:rStyle w:val="C16"/>
          <w:rtl w:val="0"/>
        </w:rPr>
        <w:t>Doprovázení umírajících a pozůstalých, 31.7.2026 9:14:26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Sebereflexe doprovázejícího</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Reflektovat vlastní postoj ke smrti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Zhodnotit osobní důvody kandidáta pro doprovázení umírajících a pozůstalých</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Popsat objektivní důvody pro přerušení nebo ukončení doprovázení umírajících a pozůstalých</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Orientace v rituálech souvisejících se smrtí</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607" w:hRule="exact" w:wrap="none" w:vAnchor="page" w:hAnchor="margin" w:x="45" w:y="6482"/>
        <w:rPr>
          <w:rStyle w:val="C3"/>
          <w:rtl w:val="0"/>
        </w:rPr>
      </w:pPr>
    </w:p>
    <w:p>
      <w:pPr>
        <w:pStyle w:val="P13"/>
        <w:framePr w:w="6658" w:h="480" w:hRule="exact" w:wrap="none" w:vAnchor="page" w:hAnchor="margin" w:x="71" w:y="6538"/>
        <w:rPr>
          <w:rStyle w:val="C11"/>
          <w:rtl w:val="0"/>
        </w:rPr>
      </w:pPr>
      <w:r>
        <w:rPr>
          <w:rStyle w:val="C11"/>
          <w:rtl w:val="0"/>
        </w:rPr>
        <w:t>a) Popsat jednotlivé druhy rituálů, které se v České republice běžně provádějí u lůžka umírajícího</w:t>
      </w:r>
    </w:p>
    <w:p>
      <w:pPr>
        <w:pStyle w:val="P28"/>
        <w:framePr w:w="3921" w:h="607" w:hRule="exact" w:wrap="none" w:vAnchor="page" w:hAnchor="margin" w:x="6800" w:y="6482"/>
        <w:rPr>
          <w:rStyle w:val="C3"/>
          <w:rtl w:val="0"/>
        </w:rPr>
      </w:pPr>
    </w:p>
    <w:p>
      <w:pPr>
        <w:pStyle w:val="P29"/>
        <w:framePr w:w="3839" w:h="480" w:hRule="exact" w:wrap="none" w:vAnchor="page" w:hAnchor="margin" w:x="6856" w:y="6538"/>
        <w:rPr>
          <w:rStyle w:val="C21"/>
          <w:rtl w:val="0"/>
        </w:rPr>
      </w:pPr>
      <w:r>
        <w:rPr>
          <w:rStyle w:val="C21"/>
          <w:rtl w:val="0"/>
        </w:rPr>
        <w:t>Ústní ověření</w:t>
      </w:r>
    </w:p>
    <w:p>
      <w:pPr>
        <w:pStyle w:val="P16"/>
        <w:framePr w:w="6710" w:h="831" w:hRule="exact" w:wrap="none" w:vAnchor="page" w:hAnchor="margin" w:x="45" w:y="7089"/>
        <w:rPr>
          <w:rStyle w:val="C3"/>
          <w:rtl w:val="0"/>
        </w:rPr>
      </w:pPr>
    </w:p>
    <w:p>
      <w:pPr>
        <w:pStyle w:val="P17"/>
        <w:framePr w:w="6658" w:h="704" w:hRule="exact" w:wrap="none" w:vAnchor="page" w:hAnchor="margin" w:x="71" w:y="7145"/>
        <w:rPr>
          <w:rStyle w:val="C13"/>
          <w:rtl w:val="0"/>
        </w:rPr>
      </w:pPr>
      <w:r>
        <w:rPr>
          <w:rStyle w:val="C13"/>
          <w:rtl w:val="0"/>
        </w:rPr>
        <w:t>b) Objasnit důležitost a význam pohřebních a smutečních obřadů, hřbitovů a pietních míst v České republice a vysvětlit zákonné podmínky zřízení pomníčku u míst tragických nehod (pozitiva, negativa)</w:t>
      </w:r>
    </w:p>
    <w:p>
      <w:pPr>
        <w:pStyle w:val="P30"/>
        <w:framePr w:w="3921" w:h="831" w:hRule="exact" w:wrap="none" w:vAnchor="page" w:hAnchor="margin" w:x="6800" w:y="7089"/>
        <w:rPr>
          <w:rStyle w:val="C3"/>
          <w:rtl w:val="0"/>
        </w:rPr>
      </w:pPr>
    </w:p>
    <w:p>
      <w:pPr>
        <w:pStyle w:val="P31"/>
        <w:framePr w:w="3839" w:h="704" w:hRule="exact" w:wrap="none" w:vAnchor="page" w:hAnchor="margin" w:x="6856" w:y="7145"/>
        <w:rPr>
          <w:rStyle w:val="C22"/>
          <w:rtl w:val="0"/>
        </w:rPr>
      </w:pPr>
      <w:r>
        <w:rPr>
          <w:rStyle w:val="C22"/>
          <w:rtl w:val="0"/>
        </w:rPr>
        <w:t>Ústní ověření</w:t>
      </w:r>
    </w:p>
    <w:p>
      <w:pPr>
        <w:pStyle w:val="P12"/>
        <w:framePr w:w="6710" w:h="376" w:hRule="exact" w:wrap="none" w:vAnchor="page" w:hAnchor="margin" w:x="45" w:y="7920"/>
        <w:rPr>
          <w:rStyle w:val="C3"/>
          <w:rtl w:val="0"/>
        </w:rPr>
      </w:pPr>
    </w:p>
    <w:p>
      <w:pPr>
        <w:pStyle w:val="P13"/>
        <w:framePr w:w="6658" w:h="249" w:hRule="exact" w:wrap="none" w:vAnchor="page" w:hAnchor="margin" w:x="71" w:y="7976"/>
        <w:rPr>
          <w:rStyle w:val="C11"/>
          <w:rtl w:val="0"/>
        </w:rPr>
      </w:pPr>
      <w:r>
        <w:rPr>
          <w:rStyle w:val="C11"/>
          <w:rtl w:val="0"/>
        </w:rPr>
        <w:t>c) Rozlišit a popsat jednotlivé fáze umírání</w:t>
      </w:r>
    </w:p>
    <w:p>
      <w:pPr>
        <w:pStyle w:val="P28"/>
        <w:framePr w:w="3921" w:h="376" w:hRule="exact" w:wrap="none" w:vAnchor="page" w:hAnchor="margin" w:x="6800" w:y="7920"/>
        <w:rPr>
          <w:rStyle w:val="C3"/>
          <w:rtl w:val="0"/>
        </w:rPr>
      </w:pPr>
    </w:p>
    <w:p>
      <w:pPr>
        <w:pStyle w:val="P29"/>
        <w:framePr w:w="3839" w:h="249" w:hRule="exact" w:wrap="none" w:vAnchor="page" w:hAnchor="margin" w:x="6856" w:y="7976"/>
        <w:rPr>
          <w:rStyle w:val="C21"/>
          <w:rtl w:val="0"/>
        </w:rPr>
      </w:pPr>
      <w:r>
        <w:rPr>
          <w:rStyle w:val="C21"/>
          <w:rtl w:val="0"/>
        </w:rPr>
        <w:t>Písemné ověření</w:t>
      </w:r>
    </w:p>
    <w:p>
      <w:pPr>
        <w:pStyle w:val="P16"/>
        <w:framePr w:w="6710" w:h="607" w:hRule="exact" w:wrap="none" w:vAnchor="page" w:hAnchor="margin" w:x="45" w:y="8296"/>
        <w:rPr>
          <w:rStyle w:val="C3"/>
          <w:rtl w:val="0"/>
        </w:rPr>
      </w:pPr>
    </w:p>
    <w:p>
      <w:pPr>
        <w:pStyle w:val="P17"/>
        <w:framePr w:w="6658" w:h="480" w:hRule="exact" w:wrap="none" w:vAnchor="page" w:hAnchor="margin" w:x="71" w:y="8352"/>
        <w:rPr>
          <w:rStyle w:val="C13"/>
          <w:rtl w:val="0"/>
        </w:rPr>
      </w:pPr>
      <w:r>
        <w:rPr>
          <w:rStyle w:val="C13"/>
          <w:rtl w:val="0"/>
        </w:rPr>
        <w:t>d) Vysvětlit důvody a zákonné podmínky pro pravidelnou návštěvu umírajícího ve zdravotnických nebo sociálních zařízeních</w:t>
      </w:r>
    </w:p>
    <w:p>
      <w:pPr>
        <w:pStyle w:val="P30"/>
        <w:framePr w:w="3921" w:h="607" w:hRule="exact" w:wrap="none" w:vAnchor="page" w:hAnchor="margin" w:x="6800" w:y="8296"/>
        <w:rPr>
          <w:rStyle w:val="C3"/>
          <w:rtl w:val="0"/>
        </w:rPr>
      </w:pPr>
    </w:p>
    <w:p>
      <w:pPr>
        <w:pStyle w:val="P31"/>
        <w:framePr w:w="3839" w:h="480" w:hRule="exact" w:wrap="none" w:vAnchor="page" w:hAnchor="margin" w:x="6856" w:y="8352"/>
        <w:rPr>
          <w:rStyle w:val="C22"/>
          <w:rtl w:val="0"/>
        </w:rPr>
      </w:pPr>
      <w:r>
        <w:rPr>
          <w:rStyle w:val="C22"/>
          <w:rtl w:val="0"/>
        </w:rPr>
        <w:t>Ústní ověření</w:t>
      </w:r>
    </w:p>
    <w:p>
      <w:pPr>
        <w:pStyle w:val="P32"/>
        <w:framePr w:w="10710" w:h="248" w:hRule="exact" w:wrap="none" w:vAnchor="page" w:hAnchor="margin" w:x="28" w:y="9016"/>
        <w:rPr>
          <w:rStyle w:val="C23"/>
          <w:rtl w:val="0"/>
        </w:rPr>
      </w:pPr>
      <w:r>
        <w:rPr>
          <w:rStyle w:val="C23"/>
          <w:rtl w:val="0"/>
        </w:rPr>
        <w:t>Je třeba splnit všechna kritéria.</w:t>
      </w:r>
    </w:p>
    <w:p>
      <w:pPr>
        <w:pStyle w:val="P23"/>
        <w:framePr w:w="10710" w:h="340" w:hRule="exact" w:wrap="none" w:vAnchor="page" w:hAnchor="margin" w:x="28" w:y="9452"/>
        <w:rPr>
          <w:rStyle w:val="C18"/>
          <w:rtl w:val="0"/>
        </w:rPr>
      </w:pPr>
      <w:r>
        <w:rPr>
          <w:rStyle w:val="C18"/>
          <w:rtl w:val="0"/>
        </w:rPr>
        <w:t>Doprovázení umírajících</w:t>
      </w:r>
    </w:p>
    <w:p>
      <w:pPr>
        <w:pStyle w:val="P24"/>
        <w:framePr w:w="6713" w:h="376" w:hRule="exact" w:wrap="none" w:vAnchor="page" w:hAnchor="margin" w:x="45" w:y="9891"/>
        <w:rPr>
          <w:rStyle w:val="C3"/>
          <w:rtl w:val="0"/>
        </w:rPr>
      </w:pPr>
    </w:p>
    <w:p>
      <w:pPr>
        <w:pStyle w:val="P25"/>
        <w:framePr w:w="6661" w:h="249" w:hRule="exact" w:wrap="none" w:vAnchor="page" w:hAnchor="margin" w:x="71" w:y="9962"/>
        <w:rPr>
          <w:rStyle w:val="C19"/>
          <w:rtl w:val="0"/>
        </w:rPr>
      </w:pPr>
      <w:r>
        <w:rPr>
          <w:rStyle w:val="C19"/>
          <w:rtl w:val="0"/>
        </w:rPr>
        <w:t>Kritéria hodnocení</w:t>
      </w:r>
    </w:p>
    <w:p>
      <w:pPr>
        <w:pStyle w:val="P26"/>
        <w:framePr w:w="3918" w:h="376" w:hRule="exact" w:wrap="none" w:vAnchor="page" w:hAnchor="margin" w:x="6803" w:y="9891"/>
        <w:rPr>
          <w:rStyle w:val="C3"/>
          <w:rtl w:val="0"/>
        </w:rPr>
      </w:pPr>
    </w:p>
    <w:p>
      <w:pPr>
        <w:pStyle w:val="P27"/>
        <w:framePr w:w="3836" w:h="249" w:hRule="exact" w:wrap="none" w:vAnchor="page" w:hAnchor="margin" w:x="6859" w:y="9962"/>
        <w:rPr>
          <w:rStyle w:val="C20"/>
          <w:rtl w:val="0"/>
        </w:rPr>
      </w:pPr>
      <w:r>
        <w:rPr>
          <w:rStyle w:val="C20"/>
          <w:rtl w:val="0"/>
        </w:rPr>
        <w:t>Způsoby ověření</w:t>
      </w:r>
    </w:p>
    <w:p>
      <w:pPr>
        <w:pStyle w:val="P12"/>
        <w:framePr w:w="6710" w:h="376" w:hRule="exact" w:wrap="none" w:vAnchor="page" w:hAnchor="margin" w:x="45" w:y="10267"/>
        <w:rPr>
          <w:rStyle w:val="C3"/>
          <w:rtl w:val="0"/>
        </w:rPr>
      </w:pPr>
    </w:p>
    <w:p>
      <w:pPr>
        <w:pStyle w:val="P13"/>
        <w:framePr w:w="6658" w:h="249" w:hRule="exact" w:wrap="none" w:vAnchor="page" w:hAnchor="margin" w:x="71" w:y="10323"/>
        <w:rPr>
          <w:rStyle w:val="C11"/>
          <w:rtl w:val="0"/>
        </w:rPr>
      </w:pPr>
      <w:r>
        <w:rPr>
          <w:rStyle w:val="C11"/>
          <w:rtl w:val="0"/>
        </w:rPr>
        <w:t>a) Provést rozhovor s umírajícím na téma jeho poslední vůle</w:t>
      </w:r>
    </w:p>
    <w:p>
      <w:pPr>
        <w:pStyle w:val="P28"/>
        <w:framePr w:w="3921" w:h="376" w:hRule="exact" w:wrap="none" w:vAnchor="page" w:hAnchor="margin" w:x="6800" w:y="10267"/>
        <w:rPr>
          <w:rStyle w:val="C3"/>
          <w:rtl w:val="0"/>
        </w:rPr>
      </w:pPr>
    </w:p>
    <w:p>
      <w:pPr>
        <w:pStyle w:val="P29"/>
        <w:framePr w:w="3839" w:h="249" w:hRule="exact" w:wrap="none" w:vAnchor="page" w:hAnchor="margin" w:x="6856" w:y="10323"/>
        <w:rPr>
          <w:rStyle w:val="C21"/>
          <w:rtl w:val="0"/>
        </w:rPr>
      </w:pPr>
      <w:r>
        <w:rPr>
          <w:rStyle w:val="C21"/>
          <w:rtl w:val="0"/>
        </w:rPr>
        <w:t>Praktické předvedení</w:t>
      </w:r>
    </w:p>
    <w:p>
      <w:pPr>
        <w:pStyle w:val="P16"/>
        <w:framePr w:w="6710" w:h="376" w:hRule="exact" w:wrap="none" w:vAnchor="page" w:hAnchor="margin" w:x="45" w:y="10644"/>
        <w:rPr>
          <w:rStyle w:val="C3"/>
          <w:rtl w:val="0"/>
        </w:rPr>
      </w:pPr>
    </w:p>
    <w:p>
      <w:pPr>
        <w:pStyle w:val="P17"/>
        <w:framePr w:w="6658" w:h="249" w:hRule="exact" w:wrap="none" w:vAnchor="page" w:hAnchor="margin" w:x="71" w:y="10700"/>
        <w:rPr>
          <w:rStyle w:val="C13"/>
          <w:rtl w:val="0"/>
        </w:rPr>
      </w:pPr>
      <w:r>
        <w:rPr>
          <w:rStyle w:val="C13"/>
          <w:rtl w:val="0"/>
        </w:rPr>
        <w:t>b) Předvést každodenní péči o psychickou pohodu umírajícího</w:t>
      </w:r>
    </w:p>
    <w:p>
      <w:pPr>
        <w:pStyle w:val="P30"/>
        <w:framePr w:w="3921" w:h="376" w:hRule="exact" w:wrap="none" w:vAnchor="page" w:hAnchor="margin" w:x="6800" w:y="10644"/>
        <w:rPr>
          <w:rStyle w:val="C3"/>
          <w:rtl w:val="0"/>
        </w:rPr>
      </w:pPr>
    </w:p>
    <w:p>
      <w:pPr>
        <w:pStyle w:val="P31"/>
        <w:framePr w:w="3839" w:h="249" w:hRule="exact" w:wrap="none" w:vAnchor="page" w:hAnchor="margin" w:x="6856" w:y="10700"/>
        <w:rPr>
          <w:rStyle w:val="C22"/>
          <w:rtl w:val="0"/>
        </w:rPr>
      </w:pPr>
      <w:r>
        <w:rPr>
          <w:rStyle w:val="C22"/>
          <w:rtl w:val="0"/>
        </w:rPr>
        <w:t>Praktické předvedení a ústní ověření</w:t>
      </w:r>
    </w:p>
    <w:p>
      <w:pPr>
        <w:pStyle w:val="P12"/>
        <w:framePr w:w="6710" w:h="376" w:hRule="exact" w:wrap="none" w:vAnchor="page" w:hAnchor="margin" w:x="45" w:y="11020"/>
        <w:rPr>
          <w:rStyle w:val="C3"/>
          <w:rtl w:val="0"/>
        </w:rPr>
      </w:pPr>
    </w:p>
    <w:p>
      <w:pPr>
        <w:pStyle w:val="P13"/>
        <w:framePr w:w="6658" w:h="249" w:hRule="exact" w:wrap="none" w:vAnchor="page" w:hAnchor="margin" w:x="71" w:y="11076"/>
        <w:rPr>
          <w:rStyle w:val="C11"/>
          <w:rtl w:val="0"/>
        </w:rPr>
      </w:pPr>
      <w:r>
        <w:rPr>
          <w:rStyle w:val="C11"/>
          <w:rtl w:val="0"/>
        </w:rPr>
        <w:t>c) Zprostředkovat umírajícímu na jeho přání návštěvu duchovního</w:t>
      </w:r>
    </w:p>
    <w:p>
      <w:pPr>
        <w:pStyle w:val="P28"/>
        <w:framePr w:w="3921" w:h="376" w:hRule="exact" w:wrap="none" w:vAnchor="page" w:hAnchor="margin" w:x="6800" w:y="11020"/>
        <w:rPr>
          <w:rStyle w:val="C3"/>
          <w:rtl w:val="0"/>
        </w:rPr>
      </w:pPr>
    </w:p>
    <w:p>
      <w:pPr>
        <w:pStyle w:val="P29"/>
        <w:framePr w:w="3839" w:h="249" w:hRule="exact" w:wrap="none" w:vAnchor="page" w:hAnchor="margin" w:x="6856" w:y="11076"/>
        <w:rPr>
          <w:rStyle w:val="C21"/>
          <w:rtl w:val="0"/>
        </w:rPr>
      </w:pPr>
      <w:r>
        <w:rPr>
          <w:rStyle w:val="C21"/>
          <w:rtl w:val="0"/>
        </w:rPr>
        <w:t>Praktické předvedení</w:t>
      </w:r>
    </w:p>
    <w:p>
      <w:pPr>
        <w:pStyle w:val="P16"/>
        <w:framePr w:w="6710" w:h="376" w:hRule="exact" w:wrap="none" w:vAnchor="page" w:hAnchor="margin" w:x="45" w:y="11396"/>
        <w:rPr>
          <w:rStyle w:val="C3"/>
          <w:rtl w:val="0"/>
        </w:rPr>
      </w:pPr>
    </w:p>
    <w:p>
      <w:pPr>
        <w:pStyle w:val="P17"/>
        <w:framePr w:w="6658" w:h="249" w:hRule="exact" w:wrap="none" w:vAnchor="page" w:hAnchor="margin" w:x="71" w:y="11452"/>
        <w:rPr>
          <w:rStyle w:val="C13"/>
          <w:rtl w:val="0"/>
        </w:rPr>
      </w:pPr>
      <w:r>
        <w:rPr>
          <w:rStyle w:val="C13"/>
          <w:rtl w:val="0"/>
        </w:rPr>
        <w:t>d) Aktivně naslouchat umírajícímu</w:t>
      </w:r>
    </w:p>
    <w:p>
      <w:pPr>
        <w:pStyle w:val="P30"/>
        <w:framePr w:w="3921" w:h="376" w:hRule="exact" w:wrap="none" w:vAnchor="page" w:hAnchor="margin" w:x="6800" w:y="11396"/>
        <w:rPr>
          <w:rStyle w:val="C3"/>
          <w:rtl w:val="0"/>
        </w:rPr>
      </w:pPr>
    </w:p>
    <w:p>
      <w:pPr>
        <w:pStyle w:val="P31"/>
        <w:framePr w:w="3839" w:h="249" w:hRule="exact" w:wrap="none" w:vAnchor="page" w:hAnchor="margin" w:x="6856" w:y="11452"/>
        <w:rPr>
          <w:rStyle w:val="C22"/>
          <w:rtl w:val="0"/>
        </w:rPr>
      </w:pPr>
      <w:r>
        <w:rPr>
          <w:rStyle w:val="C22"/>
          <w:rtl w:val="0"/>
        </w:rPr>
        <w:t>Praktické předvedení</w:t>
      </w:r>
    </w:p>
    <w:p>
      <w:pPr>
        <w:pStyle w:val="P12"/>
        <w:framePr w:w="6710" w:h="376" w:hRule="exact" w:wrap="none" w:vAnchor="page" w:hAnchor="margin" w:x="45" w:y="11772"/>
        <w:rPr>
          <w:rStyle w:val="C3"/>
          <w:rtl w:val="0"/>
        </w:rPr>
      </w:pPr>
    </w:p>
    <w:p>
      <w:pPr>
        <w:pStyle w:val="P13"/>
        <w:framePr w:w="6658" w:h="249" w:hRule="exact" w:wrap="none" w:vAnchor="page" w:hAnchor="margin" w:x="71" w:y="11828"/>
        <w:rPr>
          <w:rStyle w:val="C11"/>
          <w:rtl w:val="0"/>
        </w:rPr>
      </w:pPr>
      <w:r>
        <w:rPr>
          <w:rStyle w:val="C11"/>
          <w:rtl w:val="0"/>
        </w:rPr>
        <w:t>e) Umýt a obléci tělo zemřelého</w:t>
      </w:r>
    </w:p>
    <w:p>
      <w:pPr>
        <w:pStyle w:val="P28"/>
        <w:framePr w:w="3921" w:h="376" w:hRule="exact" w:wrap="none" w:vAnchor="page" w:hAnchor="margin" w:x="6800" w:y="11772"/>
        <w:rPr>
          <w:rStyle w:val="C3"/>
          <w:rtl w:val="0"/>
        </w:rPr>
      </w:pPr>
    </w:p>
    <w:p>
      <w:pPr>
        <w:pStyle w:val="P29"/>
        <w:framePr w:w="3839" w:h="249" w:hRule="exact" w:wrap="none" w:vAnchor="page" w:hAnchor="margin" w:x="6856" w:y="11828"/>
        <w:rPr>
          <w:rStyle w:val="C21"/>
          <w:rtl w:val="0"/>
        </w:rPr>
      </w:pPr>
      <w:r>
        <w:rPr>
          <w:rStyle w:val="C21"/>
          <w:rtl w:val="0"/>
        </w:rPr>
        <w:t>Praktické předvedení</w:t>
      </w:r>
    </w:p>
    <w:p>
      <w:pPr>
        <w:pStyle w:val="P32"/>
        <w:framePr w:w="10710" w:h="248" w:hRule="exact" w:wrap="none" w:vAnchor="page" w:hAnchor="margin" w:x="28" w:y="122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Doprovázení umírajících a pozůstalých, 31.7.2026 9:14:26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Doprovázení pozůstalých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Vyhledat osoby blízké zemřelému a kontaktovat je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Vyjmenovat způsoby, jak spolupracovat s příbuznými umírajícího</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Uplatnit metody a techniky pro usnadňování průběhu procesu truchlení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Charakterizovat specifika doprovázení pozůstalých dětí, dospívajících, dospělých a seniorů</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Popsat vhodné formy doprovázení pozůstalých s fyzickým handicapem</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Ústní ověření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Vysvětlit význam vzpomínek na zemřelého v procesu truchlení</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Ústní ověření</w:t>
      </w:r>
    </w:p>
    <w:p>
      <w:pPr>
        <w:pStyle w:val="P12"/>
        <w:framePr w:w="6710" w:h="607" w:hRule="exact" w:wrap="none" w:vAnchor="page" w:hAnchor="margin" w:x="45" w:y="5458"/>
        <w:rPr>
          <w:rStyle w:val="C3"/>
          <w:rtl w:val="0"/>
        </w:rPr>
      </w:pPr>
    </w:p>
    <w:p>
      <w:pPr>
        <w:pStyle w:val="P13"/>
        <w:framePr w:w="6658" w:h="480" w:hRule="exact" w:wrap="none" w:vAnchor="page" w:hAnchor="margin" w:x="71" w:y="5514"/>
        <w:rPr>
          <w:rStyle w:val="C11"/>
          <w:rtl w:val="0"/>
        </w:rPr>
      </w:pPr>
      <w:r>
        <w:rPr>
          <w:rStyle w:val="C11"/>
          <w:rtl w:val="0"/>
        </w:rPr>
        <w:t>g) Charakterizovat odlišnosti při individuální a komunitní práci s emocemi pozůstalých v důsledku hromadných neštěstí a katastrof</w:t>
      </w:r>
    </w:p>
    <w:p>
      <w:pPr>
        <w:pStyle w:val="P28"/>
        <w:framePr w:w="3921" w:h="607" w:hRule="exact" w:wrap="none" w:vAnchor="page" w:hAnchor="margin" w:x="6800" w:y="5458"/>
        <w:rPr>
          <w:rStyle w:val="C3"/>
          <w:rtl w:val="0"/>
        </w:rPr>
      </w:pPr>
    </w:p>
    <w:p>
      <w:pPr>
        <w:pStyle w:val="P29"/>
        <w:framePr w:w="3839" w:h="480" w:hRule="exact" w:wrap="none" w:vAnchor="page" w:hAnchor="margin" w:x="6856" w:y="5514"/>
        <w:rPr>
          <w:rStyle w:val="C21"/>
          <w:rtl w:val="0"/>
        </w:rPr>
      </w:pPr>
      <w:r>
        <w:rPr>
          <w:rStyle w:val="C21"/>
          <w:rtl w:val="0"/>
        </w:rPr>
        <w:t>Ústní ověření</w:t>
      </w:r>
    </w:p>
    <w:p>
      <w:pPr>
        <w:pStyle w:val="P32"/>
        <w:framePr w:w="10710" w:h="248" w:hRule="exact" w:wrap="none" w:vAnchor="page" w:hAnchor="margin" w:x="28" w:y="6178"/>
        <w:rPr>
          <w:rStyle w:val="C23"/>
          <w:rtl w:val="0"/>
        </w:rPr>
      </w:pPr>
      <w:r>
        <w:rPr>
          <w:rStyle w:val="C23"/>
          <w:rtl w:val="0"/>
        </w:rPr>
        <w:t>Je třeba splnit všechna kritéria.</w:t>
      </w:r>
    </w:p>
    <w:p>
      <w:pPr>
        <w:pStyle w:val="P23"/>
        <w:framePr w:w="10710" w:h="340" w:hRule="exact" w:wrap="none" w:vAnchor="page" w:hAnchor="margin" w:x="28" w:y="6614"/>
        <w:rPr>
          <w:rStyle w:val="C18"/>
          <w:rtl w:val="0"/>
        </w:rPr>
      </w:pPr>
      <w:r>
        <w:rPr>
          <w:rStyle w:val="C18"/>
          <w:rtl w:val="0"/>
        </w:rPr>
        <w:t>Vypravování pohřbu</w:t>
      </w:r>
    </w:p>
    <w:p>
      <w:pPr>
        <w:pStyle w:val="P24"/>
        <w:framePr w:w="6713" w:h="376" w:hRule="exact" w:wrap="none" w:vAnchor="page" w:hAnchor="margin" w:x="45" w:y="7053"/>
        <w:rPr>
          <w:rStyle w:val="C3"/>
          <w:rtl w:val="0"/>
        </w:rPr>
      </w:pPr>
    </w:p>
    <w:p>
      <w:pPr>
        <w:pStyle w:val="P25"/>
        <w:framePr w:w="6661" w:h="249" w:hRule="exact" w:wrap="none" w:vAnchor="page" w:hAnchor="margin" w:x="71" w:y="7124"/>
        <w:rPr>
          <w:rStyle w:val="C19"/>
          <w:rtl w:val="0"/>
        </w:rPr>
      </w:pPr>
      <w:r>
        <w:rPr>
          <w:rStyle w:val="C19"/>
          <w:rtl w:val="0"/>
        </w:rPr>
        <w:t>Kritéria hodnocení</w:t>
      </w:r>
    </w:p>
    <w:p>
      <w:pPr>
        <w:pStyle w:val="P26"/>
        <w:framePr w:w="3918" w:h="376" w:hRule="exact" w:wrap="none" w:vAnchor="page" w:hAnchor="margin" w:x="6803" w:y="7053"/>
        <w:rPr>
          <w:rStyle w:val="C3"/>
          <w:rtl w:val="0"/>
        </w:rPr>
      </w:pPr>
    </w:p>
    <w:p>
      <w:pPr>
        <w:pStyle w:val="P27"/>
        <w:framePr w:w="3836" w:h="249" w:hRule="exact" w:wrap="none" w:vAnchor="page" w:hAnchor="margin" w:x="6859" w:y="7124"/>
        <w:rPr>
          <w:rStyle w:val="C20"/>
          <w:rtl w:val="0"/>
        </w:rPr>
      </w:pPr>
      <w:r>
        <w:rPr>
          <w:rStyle w:val="C20"/>
          <w:rtl w:val="0"/>
        </w:rPr>
        <w:t>Způsoby ověření</w:t>
      </w:r>
    </w:p>
    <w:p>
      <w:pPr>
        <w:pStyle w:val="P12"/>
        <w:framePr w:w="6710" w:h="607" w:hRule="exact" w:wrap="none" w:vAnchor="page" w:hAnchor="margin" w:x="45" w:y="7429"/>
        <w:rPr>
          <w:rStyle w:val="C3"/>
          <w:rtl w:val="0"/>
        </w:rPr>
      </w:pPr>
    </w:p>
    <w:p>
      <w:pPr>
        <w:pStyle w:val="P13"/>
        <w:framePr w:w="6658" w:h="480" w:hRule="exact" w:wrap="none" w:vAnchor="page" w:hAnchor="margin" w:x="71" w:y="7485"/>
        <w:rPr>
          <w:rStyle w:val="C11"/>
          <w:rtl w:val="0"/>
        </w:rPr>
      </w:pPr>
      <w:r>
        <w:rPr>
          <w:rStyle w:val="C11"/>
          <w:rtl w:val="0"/>
        </w:rPr>
        <w:t>a) Uvést způsoby zajištění přechodného uložení lidských pozůstatků v domácím prostředí</w:t>
      </w:r>
    </w:p>
    <w:p>
      <w:pPr>
        <w:pStyle w:val="P28"/>
        <w:framePr w:w="3921" w:h="607" w:hRule="exact" w:wrap="none" w:vAnchor="page" w:hAnchor="margin" w:x="6800" w:y="7429"/>
        <w:rPr>
          <w:rStyle w:val="C3"/>
          <w:rtl w:val="0"/>
        </w:rPr>
      </w:pPr>
    </w:p>
    <w:p>
      <w:pPr>
        <w:pStyle w:val="P29"/>
        <w:framePr w:w="3839" w:h="480" w:hRule="exact" w:wrap="none" w:vAnchor="page" w:hAnchor="margin" w:x="6856" w:y="7485"/>
        <w:rPr>
          <w:rStyle w:val="C21"/>
          <w:rtl w:val="0"/>
        </w:rPr>
      </w:pPr>
      <w:r>
        <w:rPr>
          <w:rStyle w:val="C21"/>
          <w:rtl w:val="0"/>
        </w:rPr>
        <w:t>Ústní ověření</w:t>
      </w:r>
    </w:p>
    <w:p>
      <w:pPr>
        <w:pStyle w:val="P16"/>
        <w:framePr w:w="6710" w:h="831" w:hRule="exact" w:wrap="none" w:vAnchor="page" w:hAnchor="margin" w:x="45" w:y="8036"/>
        <w:rPr>
          <w:rStyle w:val="C3"/>
          <w:rtl w:val="0"/>
        </w:rPr>
      </w:pPr>
    </w:p>
    <w:p>
      <w:pPr>
        <w:pStyle w:val="P17"/>
        <w:framePr w:w="6658" w:h="704" w:hRule="exact" w:wrap="none" w:vAnchor="page" w:hAnchor="margin" w:x="71" w:y="8092"/>
        <w:rPr>
          <w:rStyle w:val="C13"/>
          <w:rtl w:val="0"/>
        </w:rPr>
      </w:pPr>
      <w:r>
        <w:rPr>
          <w:rStyle w:val="C13"/>
          <w:rtl w:val="0"/>
        </w:rPr>
        <w:t>b) Ve spolupráci s lékařem provádějícím prohlídku těla zemřelého a zástupcem registrované církve nebo náboženské společnosti navrhnout přiměřenou dobu obřadu nad tělem zemřelého</w:t>
      </w:r>
    </w:p>
    <w:p>
      <w:pPr>
        <w:pStyle w:val="P30"/>
        <w:framePr w:w="3921" w:h="831" w:hRule="exact" w:wrap="none" w:vAnchor="page" w:hAnchor="margin" w:x="6800" w:y="8036"/>
        <w:rPr>
          <w:rStyle w:val="C3"/>
          <w:rtl w:val="0"/>
        </w:rPr>
      </w:pPr>
    </w:p>
    <w:p>
      <w:pPr>
        <w:pStyle w:val="P31"/>
        <w:framePr w:w="3839" w:h="704" w:hRule="exact" w:wrap="none" w:vAnchor="page" w:hAnchor="margin" w:x="6856" w:y="8092"/>
        <w:rPr>
          <w:rStyle w:val="C22"/>
          <w:rtl w:val="0"/>
        </w:rPr>
      </w:pPr>
      <w:r>
        <w:rPr>
          <w:rStyle w:val="C22"/>
          <w:rtl w:val="0"/>
        </w:rPr>
        <w:t>Ústní ověření</w:t>
      </w:r>
    </w:p>
    <w:p>
      <w:pPr>
        <w:pStyle w:val="P12"/>
        <w:framePr w:w="6710" w:h="376" w:hRule="exact" w:wrap="none" w:vAnchor="page" w:hAnchor="margin" w:x="45" w:y="8867"/>
        <w:rPr>
          <w:rStyle w:val="C3"/>
          <w:rtl w:val="0"/>
        </w:rPr>
      </w:pPr>
    </w:p>
    <w:p>
      <w:pPr>
        <w:pStyle w:val="P13"/>
        <w:framePr w:w="6658" w:h="249" w:hRule="exact" w:wrap="none" w:vAnchor="page" w:hAnchor="margin" w:x="71" w:y="8923"/>
        <w:rPr>
          <w:rStyle w:val="C11"/>
          <w:rtl w:val="0"/>
        </w:rPr>
      </w:pPr>
      <w:r>
        <w:rPr>
          <w:rStyle w:val="C11"/>
          <w:rtl w:val="0"/>
        </w:rPr>
        <w:t>c) Vyjmenovat všechny potřebné dokumenty k vypravení pohřbu</w:t>
      </w:r>
    </w:p>
    <w:p>
      <w:pPr>
        <w:pStyle w:val="P28"/>
        <w:framePr w:w="3921" w:h="376" w:hRule="exact" w:wrap="none" w:vAnchor="page" w:hAnchor="margin" w:x="6800" w:y="8867"/>
        <w:rPr>
          <w:rStyle w:val="C3"/>
          <w:rtl w:val="0"/>
        </w:rPr>
      </w:pPr>
    </w:p>
    <w:p>
      <w:pPr>
        <w:pStyle w:val="P29"/>
        <w:framePr w:w="3839" w:h="249" w:hRule="exact" w:wrap="none" w:vAnchor="page" w:hAnchor="margin" w:x="6856" w:y="8923"/>
        <w:rPr>
          <w:rStyle w:val="C21"/>
          <w:rtl w:val="0"/>
        </w:rPr>
      </w:pPr>
      <w:r>
        <w:rPr>
          <w:rStyle w:val="C21"/>
          <w:rtl w:val="0"/>
        </w:rPr>
        <w:t>Ústní ověření</w:t>
      </w:r>
    </w:p>
    <w:p>
      <w:pPr>
        <w:pStyle w:val="P16"/>
        <w:framePr w:w="6710" w:h="607" w:hRule="exact" w:wrap="none" w:vAnchor="page" w:hAnchor="margin" w:x="45" w:y="9243"/>
        <w:rPr>
          <w:rStyle w:val="C3"/>
          <w:rtl w:val="0"/>
        </w:rPr>
      </w:pPr>
    </w:p>
    <w:p>
      <w:pPr>
        <w:pStyle w:val="P17"/>
        <w:framePr w:w="6658" w:h="480" w:hRule="exact" w:wrap="none" w:vAnchor="page" w:hAnchor="margin" w:x="71" w:y="9299"/>
        <w:rPr>
          <w:rStyle w:val="C13"/>
          <w:rtl w:val="0"/>
        </w:rPr>
      </w:pPr>
      <w:r>
        <w:rPr>
          <w:rStyle w:val="C13"/>
          <w:rtl w:val="0"/>
        </w:rPr>
        <w:t>d) Předvést, jak zařídit občanský pohřeb dle poslední vůle zemřelého do země</w:t>
      </w:r>
    </w:p>
    <w:p>
      <w:pPr>
        <w:pStyle w:val="P30"/>
        <w:framePr w:w="3921" w:h="607" w:hRule="exact" w:wrap="none" w:vAnchor="page" w:hAnchor="margin" w:x="6800" w:y="9243"/>
        <w:rPr>
          <w:rStyle w:val="C3"/>
          <w:rtl w:val="0"/>
        </w:rPr>
      </w:pPr>
    </w:p>
    <w:p>
      <w:pPr>
        <w:pStyle w:val="P31"/>
        <w:framePr w:w="3839" w:h="480" w:hRule="exact" w:wrap="none" w:vAnchor="page" w:hAnchor="margin" w:x="6856" w:y="9299"/>
        <w:rPr>
          <w:rStyle w:val="C22"/>
          <w:rtl w:val="0"/>
        </w:rPr>
      </w:pPr>
      <w:r>
        <w:rPr>
          <w:rStyle w:val="C22"/>
          <w:rtl w:val="0"/>
        </w:rPr>
        <w:t>Praktické předvedení</w:t>
      </w:r>
    </w:p>
    <w:p>
      <w:pPr>
        <w:pStyle w:val="P12"/>
        <w:framePr w:w="6710" w:h="376" w:hRule="exact" w:wrap="none" w:vAnchor="page" w:hAnchor="margin" w:x="45" w:y="9850"/>
        <w:rPr>
          <w:rStyle w:val="C3"/>
          <w:rtl w:val="0"/>
        </w:rPr>
      </w:pPr>
    </w:p>
    <w:p>
      <w:pPr>
        <w:pStyle w:val="P13"/>
        <w:framePr w:w="6658" w:h="249" w:hRule="exact" w:wrap="none" w:vAnchor="page" w:hAnchor="margin" w:x="71" w:y="9906"/>
        <w:rPr>
          <w:rStyle w:val="C11"/>
          <w:rtl w:val="0"/>
        </w:rPr>
      </w:pPr>
      <w:r>
        <w:rPr>
          <w:rStyle w:val="C11"/>
          <w:rtl w:val="0"/>
        </w:rPr>
        <w:t>e) Předvést, jak zařídit důstojný pohřeb v úzkém rodinném kruhu svépomocí</w:t>
      </w:r>
    </w:p>
    <w:p>
      <w:pPr>
        <w:pStyle w:val="P28"/>
        <w:framePr w:w="3921" w:h="376" w:hRule="exact" w:wrap="none" w:vAnchor="page" w:hAnchor="margin" w:x="6800" w:y="9850"/>
        <w:rPr>
          <w:rStyle w:val="C3"/>
          <w:rtl w:val="0"/>
        </w:rPr>
      </w:pPr>
    </w:p>
    <w:p>
      <w:pPr>
        <w:pStyle w:val="P29"/>
        <w:framePr w:w="3839" w:h="249" w:hRule="exact" w:wrap="none" w:vAnchor="page" w:hAnchor="margin" w:x="6856" w:y="9906"/>
        <w:rPr>
          <w:rStyle w:val="C21"/>
          <w:rtl w:val="0"/>
        </w:rPr>
      </w:pPr>
      <w:r>
        <w:rPr>
          <w:rStyle w:val="C21"/>
          <w:rtl w:val="0"/>
        </w:rPr>
        <w:t>Praktické předvedení</w:t>
      </w:r>
    </w:p>
    <w:p>
      <w:pPr>
        <w:pStyle w:val="P16"/>
        <w:framePr w:w="6710" w:h="607" w:hRule="exact" w:wrap="none" w:vAnchor="page" w:hAnchor="margin" w:x="45" w:y="10226"/>
        <w:rPr>
          <w:rStyle w:val="C3"/>
          <w:rtl w:val="0"/>
        </w:rPr>
      </w:pPr>
    </w:p>
    <w:p>
      <w:pPr>
        <w:pStyle w:val="P17"/>
        <w:framePr w:w="6658" w:h="480" w:hRule="exact" w:wrap="none" w:vAnchor="page" w:hAnchor="margin" w:x="71" w:y="10282"/>
        <w:rPr>
          <w:rStyle w:val="C13"/>
          <w:rtl w:val="0"/>
        </w:rPr>
      </w:pPr>
      <w:r>
        <w:rPr>
          <w:rStyle w:val="C13"/>
          <w:rtl w:val="0"/>
        </w:rPr>
        <w:t>f) Připravit podklady pro žádost o pohřebné včetně pohřebného pro mrtvě narozené dítě, vdovský (vdovecký), sirotčí důchod apod.</w:t>
      </w:r>
    </w:p>
    <w:p>
      <w:pPr>
        <w:pStyle w:val="P30"/>
        <w:framePr w:w="3921" w:h="607" w:hRule="exact" w:wrap="none" w:vAnchor="page" w:hAnchor="margin" w:x="6800" w:y="10226"/>
        <w:rPr>
          <w:rStyle w:val="C3"/>
          <w:rtl w:val="0"/>
        </w:rPr>
      </w:pPr>
    </w:p>
    <w:p>
      <w:pPr>
        <w:pStyle w:val="P31"/>
        <w:framePr w:w="3839" w:h="480" w:hRule="exact" w:wrap="none" w:vAnchor="page" w:hAnchor="margin" w:x="6856" w:y="10282"/>
        <w:rPr>
          <w:rStyle w:val="C22"/>
          <w:rtl w:val="0"/>
        </w:rPr>
      </w:pPr>
      <w:r>
        <w:rPr>
          <w:rStyle w:val="C22"/>
          <w:rtl w:val="0"/>
        </w:rPr>
        <w:t>Praktické předvedení</w:t>
      </w:r>
    </w:p>
    <w:p>
      <w:pPr>
        <w:pStyle w:val="P32"/>
        <w:framePr w:w="10710" w:h="248" w:hRule="exact" w:wrap="none" w:vAnchor="page" w:hAnchor="margin" w:x="28" w:y="109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Doprovázení umírajících a pozůstalých, 31.7.2026 9:14:26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Základní orientace v oblasti postmortálních práv</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sousloví „právo na život“ a „lidská důstojnost“</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Vyjmenovat jednání odporující Úmluvě o ochraně lidských práv a základních svobod (čl. 8)</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Vyjmenovat způsoby ochrany osobnosti post mortem podle občanského zákoníku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Popsat postup při darování těla zemřelého anatomickému ústavu v České republice</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Objasnit, kdy a za jakých okolností se v České republice provádí absolutně povinná pitva a kdy je naopak nutné pitvu odmítnout</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Ústní ověření</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Popsat postup při darování orgánů umírajícího (zemřelého) včetně přispěvku Ministerstva zdravotnictví pro vypravitele pohřbů</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Ústní ověření</w:t>
      </w:r>
    </w:p>
    <w:p>
      <w:pPr>
        <w:pStyle w:val="P32"/>
        <w:framePr w:w="10710" w:h="248" w:hRule="exact" w:wrap="none" w:vAnchor="page" w:hAnchor="margin" w:x="28" w:y="6494"/>
        <w:rPr>
          <w:rStyle w:val="C23"/>
          <w:rtl w:val="0"/>
        </w:rPr>
      </w:pPr>
      <w:r>
        <w:rPr>
          <w:rStyle w:val="C23"/>
          <w:rtl w:val="0"/>
        </w:rPr>
        <w:t>Je třeba splnit všechna kritéria.</w:t>
      </w:r>
    </w:p>
    <w:p>
      <w:pPr>
        <w:pStyle w:val="P23"/>
        <w:framePr w:w="10710" w:h="340" w:hRule="exact" w:wrap="none" w:vAnchor="page" w:hAnchor="margin" w:x="28" w:y="6929"/>
        <w:rPr>
          <w:rStyle w:val="C18"/>
          <w:rtl w:val="0"/>
        </w:rPr>
      </w:pPr>
      <w:r>
        <w:rPr>
          <w:rStyle w:val="C18"/>
          <w:rtl w:val="0"/>
        </w:rPr>
        <w:t>Vykonávání poslední vůle</w:t>
      </w:r>
    </w:p>
    <w:p>
      <w:pPr>
        <w:pStyle w:val="P24"/>
        <w:framePr w:w="6713" w:h="376" w:hRule="exact" w:wrap="none" w:vAnchor="page" w:hAnchor="margin" w:x="45" w:y="7368"/>
        <w:rPr>
          <w:rStyle w:val="C3"/>
          <w:rtl w:val="0"/>
        </w:rPr>
      </w:pPr>
    </w:p>
    <w:p>
      <w:pPr>
        <w:pStyle w:val="P25"/>
        <w:framePr w:w="6661" w:h="249" w:hRule="exact" w:wrap="none" w:vAnchor="page" w:hAnchor="margin" w:x="71" w:y="7439"/>
        <w:rPr>
          <w:rStyle w:val="C19"/>
          <w:rtl w:val="0"/>
        </w:rPr>
      </w:pPr>
      <w:r>
        <w:rPr>
          <w:rStyle w:val="C19"/>
          <w:rtl w:val="0"/>
        </w:rPr>
        <w:t>Kritéria hodnocení</w:t>
      </w:r>
    </w:p>
    <w:p>
      <w:pPr>
        <w:pStyle w:val="P26"/>
        <w:framePr w:w="3918" w:h="376" w:hRule="exact" w:wrap="none" w:vAnchor="page" w:hAnchor="margin" w:x="6803" w:y="7368"/>
        <w:rPr>
          <w:rStyle w:val="C3"/>
          <w:rtl w:val="0"/>
        </w:rPr>
      </w:pPr>
    </w:p>
    <w:p>
      <w:pPr>
        <w:pStyle w:val="P27"/>
        <w:framePr w:w="3836" w:h="249" w:hRule="exact" w:wrap="none" w:vAnchor="page" w:hAnchor="margin" w:x="6859" w:y="7439"/>
        <w:rPr>
          <w:rStyle w:val="C20"/>
          <w:rtl w:val="0"/>
        </w:rPr>
      </w:pPr>
      <w:r>
        <w:rPr>
          <w:rStyle w:val="C20"/>
          <w:rtl w:val="0"/>
        </w:rPr>
        <w:t>Způsoby ověření</w:t>
      </w:r>
    </w:p>
    <w:p>
      <w:pPr>
        <w:pStyle w:val="P12"/>
        <w:framePr w:w="6710" w:h="607" w:hRule="exact" w:wrap="none" w:vAnchor="page" w:hAnchor="margin" w:x="45" w:y="7745"/>
        <w:rPr>
          <w:rStyle w:val="C3"/>
          <w:rtl w:val="0"/>
        </w:rPr>
      </w:pPr>
    </w:p>
    <w:p>
      <w:pPr>
        <w:pStyle w:val="P13"/>
        <w:framePr w:w="6658" w:h="480" w:hRule="exact" w:wrap="none" w:vAnchor="page" w:hAnchor="margin" w:x="71" w:y="7801"/>
        <w:rPr>
          <w:rStyle w:val="C11"/>
          <w:rtl w:val="0"/>
        </w:rPr>
      </w:pPr>
      <w:r>
        <w:rPr>
          <w:rStyle w:val="C11"/>
          <w:rtl w:val="0"/>
        </w:rPr>
        <w:t>a) Vysvětlit postup a vytvořit vzor sepsání platné závěti, dědické smlouvy a ústní formy závěti v souladu s dědickým právem v České republice</w:t>
      </w:r>
    </w:p>
    <w:p>
      <w:pPr>
        <w:pStyle w:val="P28"/>
        <w:framePr w:w="3921" w:h="607" w:hRule="exact" w:wrap="none" w:vAnchor="page" w:hAnchor="margin" w:x="6800" w:y="7745"/>
        <w:rPr>
          <w:rStyle w:val="C3"/>
          <w:rtl w:val="0"/>
        </w:rPr>
      </w:pPr>
    </w:p>
    <w:p>
      <w:pPr>
        <w:pStyle w:val="P29"/>
        <w:framePr w:w="3839" w:h="480" w:hRule="exact" w:wrap="none" w:vAnchor="page" w:hAnchor="margin" w:x="6856" w:y="7801"/>
        <w:rPr>
          <w:rStyle w:val="C21"/>
          <w:rtl w:val="0"/>
        </w:rPr>
      </w:pPr>
      <w:r>
        <w:rPr>
          <w:rStyle w:val="C21"/>
          <w:rtl w:val="0"/>
        </w:rPr>
        <w:t>Praktické předvedení a ústní ověření</w:t>
      </w:r>
    </w:p>
    <w:p>
      <w:pPr>
        <w:pStyle w:val="P16"/>
        <w:framePr w:w="6710" w:h="607" w:hRule="exact" w:wrap="none" w:vAnchor="page" w:hAnchor="margin" w:x="45" w:y="8352"/>
        <w:rPr>
          <w:rStyle w:val="C3"/>
          <w:rtl w:val="0"/>
        </w:rPr>
      </w:pPr>
    </w:p>
    <w:p>
      <w:pPr>
        <w:pStyle w:val="P17"/>
        <w:framePr w:w="6658" w:h="480" w:hRule="exact" w:wrap="none" w:vAnchor="page" w:hAnchor="margin" w:x="71" w:y="8408"/>
        <w:rPr>
          <w:rStyle w:val="C13"/>
          <w:rtl w:val="0"/>
        </w:rPr>
      </w:pPr>
      <w:r>
        <w:rPr>
          <w:rStyle w:val="C13"/>
          <w:rtl w:val="0"/>
        </w:rPr>
        <w:t>b) Vysvětlit, jak dbát o řádné splnění poslední vůle zemřelého a plnění jeho pokynů s péčí řádného hospodáře</w:t>
      </w:r>
    </w:p>
    <w:p>
      <w:pPr>
        <w:pStyle w:val="P30"/>
        <w:framePr w:w="3921" w:h="607" w:hRule="exact" w:wrap="none" w:vAnchor="page" w:hAnchor="margin" w:x="6800" w:y="8352"/>
        <w:rPr>
          <w:rStyle w:val="C3"/>
          <w:rtl w:val="0"/>
        </w:rPr>
      </w:pPr>
    </w:p>
    <w:p>
      <w:pPr>
        <w:pStyle w:val="P31"/>
        <w:framePr w:w="3839" w:h="480" w:hRule="exact" w:wrap="none" w:vAnchor="page" w:hAnchor="margin" w:x="6856" w:y="8408"/>
        <w:rPr>
          <w:rStyle w:val="C22"/>
          <w:rtl w:val="0"/>
        </w:rPr>
      </w:pPr>
      <w:r>
        <w:rPr>
          <w:rStyle w:val="C22"/>
          <w:rtl w:val="0"/>
        </w:rPr>
        <w:t>Ústní ověření</w:t>
      </w:r>
    </w:p>
    <w:p>
      <w:pPr>
        <w:pStyle w:val="P12"/>
        <w:framePr w:w="6710" w:h="607" w:hRule="exact" w:wrap="none" w:vAnchor="page" w:hAnchor="margin" w:x="45" w:y="8958"/>
        <w:rPr>
          <w:rStyle w:val="C3"/>
          <w:rtl w:val="0"/>
        </w:rPr>
      </w:pPr>
    </w:p>
    <w:p>
      <w:pPr>
        <w:pStyle w:val="P13"/>
        <w:framePr w:w="6658" w:h="480" w:hRule="exact" w:wrap="none" w:vAnchor="page" w:hAnchor="margin" w:x="71" w:y="9014"/>
        <w:rPr>
          <w:rStyle w:val="C11"/>
          <w:rtl w:val="0"/>
        </w:rPr>
      </w:pPr>
      <w:r>
        <w:rPr>
          <w:rStyle w:val="C11"/>
          <w:rtl w:val="0"/>
        </w:rPr>
        <w:t>c) Vysvětlit a vytvořit vzor odkazu zemřelého pro případ smrti podle občanského zákoníku</w:t>
      </w:r>
    </w:p>
    <w:p>
      <w:pPr>
        <w:pStyle w:val="P28"/>
        <w:framePr w:w="3921" w:h="607" w:hRule="exact" w:wrap="none" w:vAnchor="page" w:hAnchor="margin" w:x="6800" w:y="8958"/>
        <w:rPr>
          <w:rStyle w:val="C3"/>
          <w:rtl w:val="0"/>
        </w:rPr>
      </w:pPr>
    </w:p>
    <w:p>
      <w:pPr>
        <w:pStyle w:val="P29"/>
        <w:framePr w:w="3839" w:h="480" w:hRule="exact" w:wrap="none" w:vAnchor="page" w:hAnchor="margin" w:x="6856" w:y="9014"/>
        <w:rPr>
          <w:rStyle w:val="C21"/>
          <w:rtl w:val="0"/>
        </w:rPr>
      </w:pPr>
      <w:r>
        <w:rPr>
          <w:rStyle w:val="C21"/>
          <w:rtl w:val="0"/>
        </w:rPr>
        <w:t>Praktické předvedení</w:t>
      </w:r>
    </w:p>
    <w:p>
      <w:pPr>
        <w:pStyle w:val="P16"/>
        <w:framePr w:w="6710" w:h="607" w:hRule="exact" w:wrap="none" w:vAnchor="page" w:hAnchor="margin" w:x="45" w:y="9565"/>
        <w:rPr>
          <w:rStyle w:val="C3"/>
          <w:rtl w:val="0"/>
        </w:rPr>
      </w:pPr>
    </w:p>
    <w:p>
      <w:pPr>
        <w:pStyle w:val="P17"/>
        <w:framePr w:w="6658" w:h="480" w:hRule="exact" w:wrap="none" w:vAnchor="page" w:hAnchor="margin" w:x="71" w:y="9621"/>
        <w:rPr>
          <w:rStyle w:val="C13"/>
          <w:rtl w:val="0"/>
        </w:rPr>
      </w:pPr>
      <w:r>
        <w:rPr>
          <w:rStyle w:val="C13"/>
          <w:rtl w:val="0"/>
        </w:rPr>
        <w:t>d) Popsat způsob vymáhání pohledávky vypravitele za náklady pohřbu po dědicích a vysvětlit, jak zabránit jejímu promlčení</w:t>
      </w:r>
    </w:p>
    <w:p>
      <w:pPr>
        <w:pStyle w:val="P30"/>
        <w:framePr w:w="3921" w:h="607" w:hRule="exact" w:wrap="none" w:vAnchor="page" w:hAnchor="margin" w:x="6800" w:y="9565"/>
        <w:rPr>
          <w:rStyle w:val="C3"/>
          <w:rtl w:val="0"/>
        </w:rPr>
      </w:pPr>
    </w:p>
    <w:p>
      <w:pPr>
        <w:pStyle w:val="P31"/>
        <w:framePr w:w="3839" w:h="480" w:hRule="exact" w:wrap="none" w:vAnchor="page" w:hAnchor="margin" w:x="6856" w:y="9621"/>
        <w:rPr>
          <w:rStyle w:val="C22"/>
          <w:rtl w:val="0"/>
        </w:rPr>
      </w:pPr>
      <w:r>
        <w:rPr>
          <w:rStyle w:val="C22"/>
          <w:rtl w:val="0"/>
        </w:rPr>
        <w:t>Ústní ověření</w:t>
      </w:r>
    </w:p>
    <w:p>
      <w:pPr>
        <w:pStyle w:val="P12"/>
        <w:framePr w:w="6710" w:h="831" w:hRule="exact" w:wrap="none" w:vAnchor="page" w:hAnchor="margin" w:x="45" w:y="10172"/>
        <w:rPr>
          <w:rStyle w:val="C3"/>
          <w:rtl w:val="0"/>
        </w:rPr>
      </w:pPr>
    </w:p>
    <w:p>
      <w:pPr>
        <w:pStyle w:val="P13"/>
        <w:framePr w:w="6658" w:h="704" w:hRule="exact" w:wrap="none" w:vAnchor="page" w:hAnchor="margin" w:x="71" w:y="10228"/>
        <w:rPr>
          <w:rStyle w:val="C11"/>
          <w:rtl w:val="0"/>
        </w:rPr>
      </w:pPr>
      <w:r>
        <w:rPr>
          <w:rStyle w:val="C11"/>
          <w:rtl w:val="0"/>
        </w:rPr>
        <w:t>e) Vysvětlit rozdíl mezi řízením o dědictví a zajištěním uspořádání majetkových poměrů po smrti zůstavitele, rozlišit roli notáře jako soudního komisaře a vykonavatele závěti v České republice</w:t>
      </w:r>
    </w:p>
    <w:p>
      <w:pPr>
        <w:pStyle w:val="P28"/>
        <w:framePr w:w="3921" w:h="831" w:hRule="exact" w:wrap="none" w:vAnchor="page" w:hAnchor="margin" w:x="6800" w:y="10172"/>
        <w:rPr>
          <w:rStyle w:val="C3"/>
          <w:rtl w:val="0"/>
        </w:rPr>
      </w:pPr>
    </w:p>
    <w:p>
      <w:pPr>
        <w:pStyle w:val="P29"/>
        <w:framePr w:w="3839" w:h="704" w:hRule="exact" w:wrap="none" w:vAnchor="page" w:hAnchor="margin" w:x="6856" w:y="10228"/>
        <w:rPr>
          <w:rStyle w:val="C21"/>
          <w:rtl w:val="0"/>
        </w:rPr>
      </w:pPr>
      <w:r>
        <w:rPr>
          <w:rStyle w:val="C21"/>
          <w:rtl w:val="0"/>
        </w:rPr>
        <w:t>Ústní ověření</w:t>
      </w:r>
    </w:p>
    <w:p>
      <w:pPr>
        <w:pStyle w:val="P32"/>
        <w:framePr w:w="10710" w:h="248" w:hRule="exact" w:wrap="none" w:vAnchor="page" w:hAnchor="margin" w:x="28" w:y="111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Doprovázení umírajících a pozůstalých, 31.7.2026 9:14:26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0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52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oznámí uchazeči písemně termín a místo konání zkoušky. Součástí pozvánky bude přehled právních pramenů, především občanského zákoníku, zákona o zdravotních službách a zákona o pohřebnictví.</w:t>
      </w:r>
    </w:p>
    <w:p>
      <w:pPr>
        <w:keepNext w:val="0"/>
        <w:keepLines w:val="0"/>
        <w:framePr w:w="10766" w:h="52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zkoušky potvrdí uchazeč písemně zkoušejícímu, že není v době konání zkoušky sám v roli pozůstalého, popř. že od úmrtí osoby blízké uplynulo více než 15 měsíců. </w:t>
      </w:r>
    </w:p>
    <w:p>
      <w:pPr>
        <w:keepNext w:val="0"/>
        <w:keepLines w:val="0"/>
        <w:framePr w:w="10766" w:h="52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probíhá ve vhodně upravené místnosti, aby bylo možné navodit atmosféru soukromí a klidu pro vykonání praktické části zkoušky. Formu navození modelových situací určí autorizovaná osoba (zvukový záznam, fiktivní telefonický rozhovor, účast figuranta v roli truchlícího nebo umírajícího apod.) Praktické předvedení u kompetencí Doprovázení umírajících a Doprovázení pozůstalých probíhá vždy s figurantem (hráčem role umírajícího nebo pozůstalého), který musí být empatický a disponovat výrazovými prostředky (herectvím) tak, aby dokázal projevit odpovídající emoce. </w:t>
      </w:r>
    </w:p>
    <w:p>
      <w:pPr>
        <w:keepNext w:val="0"/>
        <w:keepLines w:val="0"/>
        <w:framePr w:w="10766" w:h="52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Jako součást přípravy na zkoušku je doporučeno vyplnění dotazníku uchazečem o zkoušku. Dotazník k vyplnění předá uchazeči autorizovaná osoba. Dotazník bude uveřejněn na www.mmr.cz.</w:t>
      </w:r>
    </w:p>
    <w:p>
      <w:pPr>
        <w:keepNext w:val="0"/>
        <w:keepLines w:val="0"/>
        <w:framePr w:w="10766" w:h="52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Praktické ověřování se provádí řešením rozmanitých modelových situací s hráčem role (figurantem), který hraje roli "umírajícího" a "pozůstalého" dle rámcového scénáře autorizované osoby. </w:t>
      </w:r>
    </w:p>
    <w:p>
      <w:pPr>
        <w:keepNext w:val="0"/>
        <w:keepLines w:val="0"/>
        <w:framePr w:w="10766" w:h="52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Figurant musí porozumět dané situaci.</w:t>
      </w:r>
    </w:p>
    <w:p>
      <w:pPr>
        <w:keepNext w:val="0"/>
        <w:keepLines w:val="0"/>
        <w:framePr w:w="10766" w:h="52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Doporučujeme, aby praktická část zkoušky byla zaznamenána audiovizuálně a archivována po dobu trvání udělené autorizace.</w:t>
      </w:r>
    </w:p>
    <w:p>
      <w:pPr>
        <w:pStyle w:val="P33"/>
        <w:framePr w:w="10766" w:h="1837" w:hRule="exact" w:wrap="none" w:vAnchor="page" w:hAnchor="margin" w:x="0" w:y="8283"/>
        <w:rPr>
          <w:rStyle w:val="C3"/>
          <w:rtl w:val="0"/>
        </w:rPr>
      </w:pPr>
    </w:p>
    <w:p>
      <w:pPr>
        <w:pStyle w:val="P35"/>
        <w:framePr w:w="10710" w:h="340" w:hRule="exact" w:wrap="none" w:vAnchor="page" w:hAnchor="margin" w:x="28" w:y="8283"/>
        <w:rPr>
          <w:rStyle w:val="C25"/>
          <w:rtl w:val="0"/>
        </w:rPr>
      </w:pPr>
      <w:r>
        <w:rPr>
          <w:rStyle w:val="C25"/>
          <w:rtl w:val="0"/>
        </w:rPr>
        <w:t>Výsledné hodnocení</w:t>
      </w:r>
    </w:p>
    <w:p>
      <w:pPr>
        <w:keepNext w:val="0"/>
        <w:keepLines w:val="0"/>
        <w:framePr w:w="10766" w:h="1497" w:hRule="exact" w:wrap="none" w:vAnchor="page" w:hAnchor="margin" w:x="0" w:y="86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347"/>
        <w:rPr>
          <w:rStyle w:val="C3"/>
          <w:rtl w:val="0"/>
        </w:rPr>
      </w:pPr>
    </w:p>
    <w:p>
      <w:pPr>
        <w:pStyle w:val="P35"/>
        <w:framePr w:w="10710" w:h="340" w:hRule="exact" w:wrap="none" w:vAnchor="page" w:hAnchor="margin" w:x="28" w:y="10347"/>
        <w:rPr>
          <w:rStyle w:val="C25"/>
          <w:rtl w:val="0"/>
        </w:rPr>
      </w:pPr>
      <w:r>
        <w:rPr>
          <w:rStyle w:val="C25"/>
          <w:rtl w:val="0"/>
        </w:rPr>
        <w:t>Počet zkoušejících</w:t>
      </w:r>
    </w:p>
    <w:p>
      <w:pPr>
        <w:keepNext w:val="0"/>
        <w:keepLines w:val="0"/>
        <w:framePr w:w="10766" w:h="1036" w:hRule="exact" w:wrap="none" w:vAnchor="page" w:hAnchor="margin" w:x="0" w:y="106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Doprovázení umírajících a pozůstalých, 31.7.2026 9:14:26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2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7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alespoň bakalářského studijního programu a nejméně 5 let praxe v řídicích činnostech v oblasti zdravotnických nebo sociálních či pohřebních služeb, z toho minimálně 1 rok v období posledních dvou let před podáním žádosti o autorizaci.</w:t>
      </w:r>
    </w:p>
    <w:p>
      <w:pPr>
        <w:keepNext w:val="0"/>
        <w:keepLines w:val="1"/>
        <w:framePr w:w="10766" w:h="687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w:t>
      </w:r>
      <w:r>
        <w:rPr>
          <w:rFonts w:ascii="Arial" w:cs="Arial" w:hAnsi="Arial" w:eastAsia="Arial"/>
          <w:b w:val="0"/>
          <w:i w:val="1"/>
          <w:caps w:val="0"/>
          <w:strike w:val="0"/>
          <w:noProof w:val="0"/>
          <w:vanish w:val="0"/>
          <w:color w:val="auto"/>
          <w:sz w:val="20"/>
          <w:u w:val="none"/>
          <w:shd w:val="clear" w:color="auto" w:fill="auto"/>
          <w:vertAlign w:val="baseline"/>
          <w:lang/>
        </w:rPr>
        <w:t>doprovázení umírajících a pozůstalých</w:t>
      </w:r>
      <w:r>
        <w:rPr>
          <w:rFonts w:ascii="Arial" w:cs="Arial" w:hAnsi="Arial" w:eastAsia="Arial"/>
          <w:b w:val="0"/>
          <w:i w:val="0"/>
          <w:caps w:val="0"/>
          <w:strike w:val="0"/>
          <w:noProof w:val="0"/>
          <w:vanish w:val="0"/>
          <w:color w:val="auto"/>
          <w:sz w:val="20"/>
          <w:u w:val="none"/>
          <w:shd w:val="clear" w:color="auto" w:fill="auto"/>
          <w:vertAlign w:val="baseline"/>
          <w:lang/>
        </w:rPr>
        <w:t>, střední vzdělání s maturitní zkouškou a nejméně 5 let praxe v řídicích činnostech v oblasti zdravotnických nebo sociálních či pohřebních služeb, z toho minimálně 1 rok v období posledních dvou let před podáním žádosti o autorizaci.</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7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87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pro místní rozvoj, www.mmr.cz.</w:t>
      </w:r>
    </w:p>
    <w:p>
      <w:pPr>
        <w:pStyle w:val="P21"/>
        <w:framePr w:w="7654" w:h="331" w:hRule="exact" w:wrap="none" w:vAnchor="page" w:hAnchor="margin" w:x="28" w:y="15940"/>
        <w:rPr>
          <w:rStyle w:val="C16"/>
          <w:rtl w:val="0"/>
        </w:rPr>
      </w:pPr>
      <w:r>
        <w:rPr>
          <w:rStyle w:val="C16"/>
          <w:rtl w:val="0"/>
        </w:rPr>
        <w:t>Doprovázení umírajících a pozůstalých, 31.7.2026 9:14:26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3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vykonání zkoušky</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telefon popř. audiovizuální technika</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Figurant (herec) v roli pozůstalého a umírajícího</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Pomocník pro manipulaci s tělem zemřelého</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úpravu zemřelých s tekoucí vodou</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Lidské pozůstatky do týdne od úmrtí, ke kterým se nikdo nehlásí</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List o prohlídce zemřelého</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Emitní miska, vata/gáza, obvaz, čtverečky buničiny, dřevěné lopatky, tác k uložení věci zemřelého, jednorázový empír, jednorázové gumové rukavice, jednorázovou zástěru, jednorázovou roušku či ústenku, jednorázový kryt hlavy, jednorázové papírové utěrky, tampóny, vlhké ubrousky, vatu, sáčky na biologický odpad, netkané textilie Pervin/Perlan</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Závěť</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Osobní věci zemřelého (mobil, diář, záznamník apod.) </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Postel</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Rubáš</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Prostěradlo</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Papírové utěrky a kapesníky</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Teplá a studená voda, umyvadlo, WC</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Hygienické potřeby (ručník, mýdlo, žinka, hřeben, holení apod.)</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Rukavice</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8913"/>
        <w:rPr>
          <w:rStyle w:val="C3"/>
          <w:rtl w:val="0"/>
        </w:rPr>
      </w:pPr>
    </w:p>
    <w:p>
      <w:pPr>
        <w:pStyle w:val="P35"/>
        <w:framePr w:w="10710" w:h="340" w:hRule="exact" w:wrap="none" w:vAnchor="page" w:hAnchor="margin" w:x="28" w:y="8913"/>
        <w:rPr>
          <w:rStyle w:val="C25"/>
          <w:rtl w:val="0"/>
        </w:rPr>
      </w:pPr>
      <w:r>
        <w:rPr>
          <w:rStyle w:val="C25"/>
          <w:rtl w:val="0"/>
        </w:rPr>
        <w:t>Doba přípravy na zkoušku</w:t>
      </w:r>
    </w:p>
    <w:p>
      <w:pPr>
        <w:keepNext w:val="0"/>
        <w:keepLines w:val="0"/>
        <w:framePr w:w="10766" w:h="1036" w:hRule="exact" w:wrap="none" w:vAnchor="page" w:hAnchor="margin" w:x="0" w:y="92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10516"/>
        <w:rPr>
          <w:rStyle w:val="C3"/>
          <w:rtl w:val="0"/>
        </w:rPr>
      </w:pPr>
    </w:p>
    <w:p>
      <w:pPr>
        <w:pStyle w:val="P35"/>
        <w:framePr w:w="10710" w:h="340" w:hRule="exact" w:wrap="none" w:vAnchor="page" w:hAnchor="margin" w:x="28" w:y="10516"/>
        <w:rPr>
          <w:rStyle w:val="C25"/>
          <w:rtl w:val="0"/>
        </w:rPr>
      </w:pPr>
      <w:r>
        <w:rPr>
          <w:rStyle w:val="C25"/>
          <w:rtl w:val="0"/>
        </w:rPr>
        <w:t>Doba pro vykonání zkoušky</w:t>
      </w:r>
    </w:p>
    <w:p>
      <w:pPr>
        <w:keepNext w:val="0"/>
        <w:keepLines w:val="0"/>
        <w:framePr w:w="10766" w:h="806" w:hRule="exact" w:wrap="none" w:vAnchor="page" w:hAnchor="margin" w:x="0" w:y="108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Doprovázení umírajících a pozůstalých, 31.7.2026 9:14:26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Jiří Haman, Vazby květin,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Katedra sociologie a andragogiky Filozofické fakulty Univerzity Palackého v Olomouci</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Magistrát města Jihlavy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Tobit, o. s.</w:t>
      </w:r>
    </w:p>
    <w:p>
      <w:pPr>
        <w:pStyle w:val="P21"/>
        <w:framePr w:w="7654" w:h="331" w:hRule="exact" w:wrap="none" w:vAnchor="page" w:hAnchor="margin" w:x="28" w:y="15940"/>
        <w:rPr>
          <w:rStyle w:val="C16"/>
          <w:rtl w:val="0"/>
        </w:rPr>
      </w:pPr>
      <w:r>
        <w:rPr>
          <w:rStyle w:val="C16"/>
          <w:rtl w:val="0"/>
        </w:rPr>
        <w:t>Doprovázení umírajících a pozůstalých, 31.7.2026 9:14:26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FBCFA4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147F22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