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AD9307" Type="http://schemas.openxmlformats.org/officeDocument/2006/relationships/officeDocument" Target="/word/document.xml" /><Relationship Id="coreR46AD9307" Type="http://schemas.openxmlformats.org/package/2006/relationships/metadata/core-properties" Target="/docProps/core.xml" /><Relationship Id="customR46AD930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Doprovázení umírajících a pozůstalých (kód: 69-056-M)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Sebereflexe doprovázejícího</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rituálech souvisejících se smrtí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Doprovázení umírajících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Doprovázení pozůstalých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Vypravování pohřbu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orientace v oblasti lidských práv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úkonech souvisejících s poslední vůlí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Doprovázení umírajících a pozůstalých, 10.7.2026 12:48:16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Sebereflexe doprovázejícího</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vlastní postoj k smrti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osobní důvody pro doprovázení umírajících a pozůstalých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Uvést objektivní důvody pro přerušení nebo ukončení doprovázení umírajících a pozůstalých</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rituálech souvisejících se smrtí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Rozlišit a popsat jednotlivé fáze umírání a popsat vhodný přístup k umírajícímu v daných fázích</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Popsat jednotlivé druhy rituálů, které se v České republice běžně provádějí u lůžka umírajícího</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Objasnit důležitost a význam pohřebních a smutečních obřadů, hřbitovů a pietních míst v České republice</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d) Vyjmenovat druhy pohřbů a pohřebních obřadů a vyjmenovat základní rozdíly mezi nimi</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Ústní ověření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e) Uvést a vysvětlit argumenty podporující skutečnost, že pohřeb „bez obřadu" může způsobit závažné psychické problémy pro pozůstalé</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Ústní ověření</w:t>
      </w:r>
    </w:p>
    <w:p>
      <w:pPr>
        <w:pStyle w:val="P16"/>
        <w:framePr w:w="6710" w:h="607" w:hRule="exact" w:wrap="none" w:vAnchor="page" w:hAnchor="margin" w:x="45" w:y="9285"/>
        <w:rPr>
          <w:rStyle w:val="C3"/>
          <w:rtl w:val="0"/>
        </w:rPr>
      </w:pPr>
    </w:p>
    <w:p>
      <w:pPr>
        <w:pStyle w:val="P17"/>
        <w:framePr w:w="6658" w:h="480" w:hRule="exact" w:wrap="none" w:vAnchor="page" w:hAnchor="margin" w:x="71" w:y="9341"/>
        <w:rPr>
          <w:rStyle w:val="C13"/>
          <w:rtl w:val="0"/>
        </w:rPr>
      </w:pPr>
      <w:r>
        <w:rPr>
          <w:rStyle w:val="C13"/>
          <w:rtl w:val="0"/>
        </w:rPr>
        <w:t>f) Vysvětlit podmínky zřízení pomníčku u míst tragických dopravních nehod z pohledu zákona (pozitiva, negativa)</w:t>
      </w:r>
    </w:p>
    <w:p>
      <w:pPr>
        <w:pStyle w:val="P30"/>
        <w:framePr w:w="3921" w:h="607" w:hRule="exact" w:wrap="none" w:vAnchor="page" w:hAnchor="margin" w:x="6800" w:y="9285"/>
        <w:rPr>
          <w:rStyle w:val="C3"/>
          <w:rtl w:val="0"/>
        </w:rPr>
      </w:pPr>
    </w:p>
    <w:p>
      <w:pPr>
        <w:pStyle w:val="P31"/>
        <w:framePr w:w="3839" w:h="480" w:hRule="exact" w:wrap="none" w:vAnchor="page" w:hAnchor="margin" w:x="6856" w:y="9341"/>
        <w:rPr>
          <w:rStyle w:val="C22"/>
          <w:rtl w:val="0"/>
        </w:rPr>
      </w:pPr>
      <w:r>
        <w:rPr>
          <w:rStyle w:val="C22"/>
          <w:rtl w:val="0"/>
        </w:rPr>
        <w:t>Ústní ověření</w:t>
      </w:r>
    </w:p>
    <w:p>
      <w:pPr>
        <w:pStyle w:val="P32"/>
        <w:framePr w:w="10710" w:h="248" w:hRule="exact" w:wrap="none" w:vAnchor="page" w:hAnchor="margin" w:x="28" w:y="10006"/>
        <w:rPr>
          <w:rStyle w:val="C23"/>
          <w:rtl w:val="0"/>
        </w:rPr>
      </w:pPr>
      <w:r>
        <w:rPr>
          <w:rStyle w:val="C23"/>
          <w:rtl w:val="0"/>
        </w:rPr>
        <w:t>Je třeba splnit všechna kritéria.</w:t>
      </w:r>
    </w:p>
    <w:p>
      <w:pPr>
        <w:pStyle w:val="P23"/>
        <w:framePr w:w="10710" w:h="340" w:hRule="exact" w:wrap="none" w:vAnchor="page" w:hAnchor="margin" w:x="28" w:y="10441"/>
        <w:rPr>
          <w:rStyle w:val="C18"/>
          <w:rtl w:val="0"/>
        </w:rPr>
      </w:pPr>
      <w:r>
        <w:rPr>
          <w:rStyle w:val="C18"/>
          <w:rtl w:val="0"/>
        </w:rPr>
        <w:t>Doprovázení umírajících</w:t>
      </w:r>
    </w:p>
    <w:p>
      <w:pPr>
        <w:pStyle w:val="P24"/>
        <w:framePr w:w="6713" w:h="376" w:hRule="exact" w:wrap="none" w:vAnchor="page" w:hAnchor="margin" w:x="45" w:y="10881"/>
        <w:rPr>
          <w:rStyle w:val="C3"/>
          <w:rtl w:val="0"/>
        </w:rPr>
      </w:pPr>
    </w:p>
    <w:p>
      <w:pPr>
        <w:pStyle w:val="P25"/>
        <w:framePr w:w="6661" w:h="249" w:hRule="exact" w:wrap="none" w:vAnchor="page" w:hAnchor="margin" w:x="71" w:y="10952"/>
        <w:rPr>
          <w:rStyle w:val="C19"/>
          <w:rtl w:val="0"/>
        </w:rPr>
      </w:pPr>
      <w:r>
        <w:rPr>
          <w:rStyle w:val="C19"/>
          <w:rtl w:val="0"/>
        </w:rPr>
        <w:t>Kritéria hodnocení</w:t>
      </w:r>
    </w:p>
    <w:p>
      <w:pPr>
        <w:pStyle w:val="P26"/>
        <w:framePr w:w="3918" w:h="376" w:hRule="exact" w:wrap="none" w:vAnchor="page" w:hAnchor="margin" w:x="6803" w:y="10881"/>
        <w:rPr>
          <w:rStyle w:val="C3"/>
          <w:rtl w:val="0"/>
        </w:rPr>
      </w:pPr>
    </w:p>
    <w:p>
      <w:pPr>
        <w:pStyle w:val="P27"/>
        <w:framePr w:w="3836" w:h="249" w:hRule="exact" w:wrap="none" w:vAnchor="page" w:hAnchor="margin" w:x="6859" w:y="10952"/>
        <w:rPr>
          <w:rStyle w:val="C20"/>
          <w:rtl w:val="0"/>
        </w:rPr>
      </w:pPr>
      <w:r>
        <w:rPr>
          <w:rStyle w:val="C20"/>
          <w:rtl w:val="0"/>
        </w:rPr>
        <w:t>Způsoby ověření</w:t>
      </w:r>
    </w:p>
    <w:p>
      <w:pPr>
        <w:pStyle w:val="P12"/>
        <w:framePr w:w="6710" w:h="831" w:hRule="exact" w:wrap="none" w:vAnchor="page" w:hAnchor="margin" w:x="45" w:y="11257"/>
        <w:rPr>
          <w:rStyle w:val="C3"/>
          <w:rtl w:val="0"/>
        </w:rPr>
      </w:pPr>
    </w:p>
    <w:p>
      <w:pPr>
        <w:pStyle w:val="P13"/>
        <w:framePr w:w="6658" w:h="704" w:hRule="exact" w:wrap="none" w:vAnchor="page" w:hAnchor="margin" w:x="71" w:y="11313"/>
        <w:rPr>
          <w:rStyle w:val="C11"/>
          <w:rtl w:val="0"/>
        </w:rPr>
      </w:pPr>
      <w:r>
        <w:rPr>
          <w:rStyle w:val="C11"/>
          <w:rtl w:val="0"/>
        </w:rPr>
        <w:t>a) Vysvětlit důvody a zákonné podmínky pro pravidelnou návštěvu umírajícího ve vhodné místnosti umístěné ve zdravotnických nebo sociálních zařízeních</w:t>
      </w:r>
    </w:p>
    <w:p>
      <w:pPr>
        <w:pStyle w:val="P28"/>
        <w:framePr w:w="3921" w:h="831" w:hRule="exact" w:wrap="none" w:vAnchor="page" w:hAnchor="margin" w:x="6800" w:y="11257"/>
        <w:rPr>
          <w:rStyle w:val="C3"/>
          <w:rtl w:val="0"/>
        </w:rPr>
      </w:pPr>
    </w:p>
    <w:p>
      <w:pPr>
        <w:pStyle w:val="P29"/>
        <w:framePr w:w="3839" w:h="704" w:hRule="exact" w:wrap="none" w:vAnchor="page" w:hAnchor="margin" w:x="6856" w:y="11313"/>
        <w:rPr>
          <w:rStyle w:val="C21"/>
          <w:rtl w:val="0"/>
        </w:rPr>
      </w:pPr>
      <w:r>
        <w:rPr>
          <w:rStyle w:val="C21"/>
          <w:rtl w:val="0"/>
        </w:rPr>
        <w:t>Ústní ověření</w:t>
      </w:r>
    </w:p>
    <w:p>
      <w:pPr>
        <w:pStyle w:val="P16"/>
        <w:framePr w:w="6710" w:h="376" w:hRule="exact" w:wrap="none" w:vAnchor="page" w:hAnchor="margin" w:x="45" w:y="12088"/>
        <w:rPr>
          <w:rStyle w:val="C3"/>
          <w:rtl w:val="0"/>
        </w:rPr>
      </w:pPr>
    </w:p>
    <w:p>
      <w:pPr>
        <w:pStyle w:val="P17"/>
        <w:framePr w:w="6658" w:h="249" w:hRule="exact" w:wrap="none" w:vAnchor="page" w:hAnchor="margin" w:x="71" w:y="12144"/>
        <w:rPr>
          <w:rStyle w:val="C13"/>
          <w:rtl w:val="0"/>
        </w:rPr>
      </w:pPr>
      <w:r>
        <w:rPr>
          <w:rStyle w:val="C13"/>
          <w:rtl w:val="0"/>
        </w:rPr>
        <w:t>b) Provést rozhovor s umírajícím na téma jeho poslední vůle</w:t>
      </w:r>
    </w:p>
    <w:p>
      <w:pPr>
        <w:pStyle w:val="P30"/>
        <w:framePr w:w="3921" w:h="376" w:hRule="exact" w:wrap="none" w:vAnchor="page" w:hAnchor="margin" w:x="6800" w:y="12088"/>
        <w:rPr>
          <w:rStyle w:val="C3"/>
          <w:rtl w:val="0"/>
        </w:rPr>
      </w:pPr>
    </w:p>
    <w:p>
      <w:pPr>
        <w:pStyle w:val="P31"/>
        <w:framePr w:w="3839" w:h="249" w:hRule="exact" w:wrap="none" w:vAnchor="page" w:hAnchor="margin" w:x="6856" w:y="12144"/>
        <w:rPr>
          <w:rStyle w:val="C22"/>
          <w:rtl w:val="0"/>
        </w:rPr>
      </w:pPr>
      <w:r>
        <w:rPr>
          <w:rStyle w:val="C22"/>
          <w:rtl w:val="0"/>
        </w:rPr>
        <w:t>Praktické předvedení</w:t>
      </w:r>
    </w:p>
    <w:p>
      <w:pPr>
        <w:pStyle w:val="P12"/>
        <w:framePr w:w="6710" w:h="376" w:hRule="exact" w:wrap="none" w:vAnchor="page" w:hAnchor="margin" w:x="45" w:y="12464"/>
        <w:rPr>
          <w:rStyle w:val="C3"/>
          <w:rtl w:val="0"/>
        </w:rPr>
      </w:pPr>
    </w:p>
    <w:p>
      <w:pPr>
        <w:pStyle w:val="P13"/>
        <w:framePr w:w="6658" w:h="249" w:hRule="exact" w:wrap="none" w:vAnchor="page" w:hAnchor="margin" w:x="71" w:y="12520"/>
        <w:rPr>
          <w:rStyle w:val="C11"/>
          <w:rtl w:val="0"/>
        </w:rPr>
      </w:pPr>
      <w:r>
        <w:rPr>
          <w:rStyle w:val="C11"/>
          <w:rtl w:val="0"/>
        </w:rPr>
        <w:t>c) Předvést každodenní péči o psychickou pohodu umírajícího</w:t>
      </w:r>
    </w:p>
    <w:p>
      <w:pPr>
        <w:pStyle w:val="P28"/>
        <w:framePr w:w="3921" w:h="376" w:hRule="exact" w:wrap="none" w:vAnchor="page" w:hAnchor="margin" w:x="6800" w:y="12464"/>
        <w:rPr>
          <w:rStyle w:val="C3"/>
          <w:rtl w:val="0"/>
        </w:rPr>
      </w:pPr>
    </w:p>
    <w:p>
      <w:pPr>
        <w:pStyle w:val="P29"/>
        <w:framePr w:w="3839" w:h="249" w:hRule="exact" w:wrap="none" w:vAnchor="page" w:hAnchor="margin" w:x="6856" w:y="12520"/>
        <w:rPr>
          <w:rStyle w:val="C21"/>
          <w:rtl w:val="0"/>
        </w:rPr>
      </w:pPr>
      <w:r>
        <w:rPr>
          <w:rStyle w:val="C21"/>
          <w:rtl w:val="0"/>
        </w:rPr>
        <w:t>Praktické předvedení a ústní ověření</w:t>
      </w:r>
    </w:p>
    <w:p>
      <w:pPr>
        <w:pStyle w:val="P16"/>
        <w:framePr w:w="6710" w:h="376" w:hRule="exact" w:wrap="none" w:vAnchor="page" w:hAnchor="margin" w:x="45" w:y="12840"/>
        <w:rPr>
          <w:rStyle w:val="C3"/>
          <w:rtl w:val="0"/>
        </w:rPr>
      </w:pPr>
    </w:p>
    <w:p>
      <w:pPr>
        <w:pStyle w:val="P17"/>
        <w:framePr w:w="6658" w:h="249" w:hRule="exact" w:wrap="none" w:vAnchor="page" w:hAnchor="margin" w:x="71" w:y="12896"/>
        <w:rPr>
          <w:rStyle w:val="C13"/>
          <w:rtl w:val="0"/>
        </w:rPr>
      </w:pPr>
      <w:r>
        <w:rPr>
          <w:rStyle w:val="C13"/>
          <w:rtl w:val="0"/>
        </w:rPr>
        <w:t>d) Předvést, jak nabídnout umírajícímu možnost návštěvy duchovního</w:t>
      </w:r>
    </w:p>
    <w:p>
      <w:pPr>
        <w:pStyle w:val="P30"/>
        <w:framePr w:w="3921" w:h="376" w:hRule="exact" w:wrap="none" w:vAnchor="page" w:hAnchor="margin" w:x="6800" w:y="12840"/>
        <w:rPr>
          <w:rStyle w:val="C3"/>
          <w:rtl w:val="0"/>
        </w:rPr>
      </w:pPr>
    </w:p>
    <w:p>
      <w:pPr>
        <w:pStyle w:val="P31"/>
        <w:framePr w:w="3839" w:h="249" w:hRule="exact" w:wrap="none" w:vAnchor="page" w:hAnchor="margin" w:x="6856" w:y="12896"/>
        <w:rPr>
          <w:rStyle w:val="C22"/>
          <w:rtl w:val="0"/>
        </w:rPr>
      </w:pPr>
      <w:r>
        <w:rPr>
          <w:rStyle w:val="C22"/>
          <w:rtl w:val="0"/>
        </w:rPr>
        <w:t>Praktické předvedení</w:t>
      </w:r>
    </w:p>
    <w:p>
      <w:pPr>
        <w:pStyle w:val="P12"/>
        <w:framePr w:w="6710" w:h="376" w:hRule="exact" w:wrap="none" w:vAnchor="page" w:hAnchor="margin" w:x="45" w:y="13217"/>
        <w:rPr>
          <w:rStyle w:val="C3"/>
          <w:rtl w:val="0"/>
        </w:rPr>
      </w:pPr>
    </w:p>
    <w:p>
      <w:pPr>
        <w:pStyle w:val="P13"/>
        <w:framePr w:w="6658" w:h="249" w:hRule="exact" w:wrap="none" w:vAnchor="page" w:hAnchor="margin" w:x="71" w:y="13273"/>
        <w:rPr>
          <w:rStyle w:val="C11"/>
          <w:rtl w:val="0"/>
        </w:rPr>
      </w:pPr>
      <w:r>
        <w:rPr>
          <w:rStyle w:val="C11"/>
          <w:rtl w:val="0"/>
        </w:rPr>
        <w:t>e) Naslouchat aktivně umírajícímu</w:t>
      </w:r>
    </w:p>
    <w:p>
      <w:pPr>
        <w:pStyle w:val="P28"/>
        <w:framePr w:w="3921" w:h="376" w:hRule="exact" w:wrap="none" w:vAnchor="page" w:hAnchor="margin" w:x="6800" w:y="13217"/>
        <w:rPr>
          <w:rStyle w:val="C3"/>
          <w:rtl w:val="0"/>
        </w:rPr>
      </w:pPr>
    </w:p>
    <w:p>
      <w:pPr>
        <w:pStyle w:val="P29"/>
        <w:framePr w:w="3839" w:h="249" w:hRule="exact" w:wrap="none" w:vAnchor="page" w:hAnchor="margin" w:x="6856" w:y="13273"/>
        <w:rPr>
          <w:rStyle w:val="C21"/>
          <w:rtl w:val="0"/>
        </w:rPr>
      </w:pPr>
      <w:r>
        <w:rPr>
          <w:rStyle w:val="C21"/>
          <w:rtl w:val="0"/>
        </w:rPr>
        <w:t>Praktické předvedení</w:t>
      </w:r>
    </w:p>
    <w:p>
      <w:pPr>
        <w:pStyle w:val="P32"/>
        <w:framePr w:w="10710" w:h="248" w:hRule="exact" w:wrap="none" w:vAnchor="page" w:hAnchor="margin" w:x="28" w:y="137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Doprovázení umírajících a pozůstalých, 10.7.2026 12:48:16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Doprovázení pozůstalých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Vyhledat osoby blízké a kontaktovat 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způsoby, jak spolupracovat s osobami blízkými zemřelému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Umýt a obléci lidské pozůstatky nebo výcvikovou figurínu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Uplatnit metody a techniky pro usnadňování průběhu procesu truchlení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Charakterizovat specifika doprovázení pozůstalých dětí, dospívajících, dospělých a seniorů</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Uvést vhodné formy doprovázení pozůstalých s fyzickým handicapem</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Vysvětlit význam vzpomínek na zemřelého v procesu truchlení</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Ústní ověření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Charakterizovat odlišnosti při individuální a komunitní práci s emocemi pozůstalých v důsledku hromadných neštěstí a katastrof</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Ústní ověření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Vypravování pohřbu</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a) Uvést způsoby zajištění přechodného uložení lidských pozůstatků v domácím prostředí</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b) Navrhnout přiměřenou dobu obřadu nad tělem zemřelého</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 a ústní ověření</w:t>
      </w:r>
    </w:p>
    <w:p>
      <w:pPr>
        <w:pStyle w:val="P12"/>
        <w:framePr w:w="6710" w:h="607" w:hRule="exact" w:wrap="none" w:vAnchor="page" w:hAnchor="margin" w:x="45" w:y="8788"/>
        <w:rPr>
          <w:rStyle w:val="C3"/>
          <w:rtl w:val="0"/>
        </w:rPr>
      </w:pPr>
    </w:p>
    <w:p>
      <w:pPr>
        <w:pStyle w:val="P13"/>
        <w:framePr w:w="6658" w:h="480" w:hRule="exact" w:wrap="none" w:vAnchor="page" w:hAnchor="margin" w:x="71" w:y="8844"/>
        <w:rPr>
          <w:rStyle w:val="C11"/>
          <w:rtl w:val="0"/>
        </w:rPr>
      </w:pPr>
      <w:r>
        <w:rPr>
          <w:rStyle w:val="C11"/>
          <w:rtl w:val="0"/>
        </w:rPr>
        <w:t>c) Vyjmenovat všechny potřebné dokumenty k vypravení pohřbu a opatření hrobu</w:t>
      </w:r>
    </w:p>
    <w:p>
      <w:pPr>
        <w:pStyle w:val="P28"/>
        <w:framePr w:w="3921" w:h="607" w:hRule="exact" w:wrap="none" w:vAnchor="page" w:hAnchor="margin" w:x="6800" w:y="8788"/>
        <w:rPr>
          <w:rStyle w:val="C3"/>
          <w:rtl w:val="0"/>
        </w:rPr>
      </w:pPr>
    </w:p>
    <w:p>
      <w:pPr>
        <w:pStyle w:val="P29"/>
        <w:framePr w:w="3839" w:h="480" w:hRule="exact" w:wrap="none" w:vAnchor="page" w:hAnchor="margin" w:x="6856" w:y="8844"/>
        <w:rPr>
          <w:rStyle w:val="C21"/>
          <w:rtl w:val="0"/>
        </w:rPr>
      </w:pPr>
      <w:r>
        <w:rPr>
          <w:rStyle w:val="C21"/>
          <w:rtl w:val="0"/>
        </w:rPr>
        <w:t>Ústní ověření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d) Předvést, jak zařídit občanský pohřeb dle poslední vůle zemřelého do země</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Praktické předvedení a ústní ověření</w:t>
      </w:r>
    </w:p>
    <w:p>
      <w:pPr>
        <w:pStyle w:val="P12"/>
        <w:framePr w:w="6710" w:h="376" w:hRule="exact" w:wrap="none" w:vAnchor="page" w:hAnchor="margin" w:x="45" w:y="10002"/>
        <w:rPr>
          <w:rStyle w:val="C3"/>
          <w:rtl w:val="0"/>
        </w:rPr>
      </w:pPr>
    </w:p>
    <w:p>
      <w:pPr>
        <w:pStyle w:val="P13"/>
        <w:framePr w:w="6658" w:h="249" w:hRule="exact" w:wrap="none" w:vAnchor="page" w:hAnchor="margin" w:x="71" w:y="10058"/>
        <w:rPr>
          <w:rStyle w:val="C11"/>
          <w:rtl w:val="0"/>
        </w:rPr>
      </w:pPr>
      <w:r>
        <w:rPr>
          <w:rStyle w:val="C11"/>
          <w:rtl w:val="0"/>
        </w:rPr>
        <w:t>e) Předvést, jak zařídit důstojný pohřeb v úzkém rodinném kruhu</w:t>
      </w:r>
    </w:p>
    <w:p>
      <w:pPr>
        <w:pStyle w:val="P28"/>
        <w:framePr w:w="3921" w:h="376" w:hRule="exact" w:wrap="none" w:vAnchor="page" w:hAnchor="margin" w:x="6800" w:y="10002"/>
        <w:rPr>
          <w:rStyle w:val="C3"/>
          <w:rtl w:val="0"/>
        </w:rPr>
      </w:pPr>
    </w:p>
    <w:p>
      <w:pPr>
        <w:pStyle w:val="P29"/>
        <w:framePr w:w="3839" w:h="249" w:hRule="exact" w:wrap="none" w:vAnchor="page" w:hAnchor="margin" w:x="6856" w:y="10058"/>
        <w:rPr>
          <w:rStyle w:val="C21"/>
          <w:rtl w:val="0"/>
        </w:rPr>
      </w:pPr>
      <w:r>
        <w:rPr>
          <w:rStyle w:val="C21"/>
          <w:rtl w:val="0"/>
        </w:rPr>
        <w:t>Praktické předvedení a ústní ověření</w:t>
      </w:r>
    </w:p>
    <w:p>
      <w:pPr>
        <w:pStyle w:val="P16"/>
        <w:framePr w:w="6710" w:h="831" w:hRule="exact" w:wrap="none" w:vAnchor="page" w:hAnchor="margin" w:x="45" w:y="10378"/>
        <w:rPr>
          <w:rStyle w:val="C3"/>
          <w:rtl w:val="0"/>
        </w:rPr>
      </w:pPr>
    </w:p>
    <w:p>
      <w:pPr>
        <w:pStyle w:val="P17"/>
        <w:framePr w:w="6658" w:h="704" w:hRule="exact" w:wrap="none" w:vAnchor="page" w:hAnchor="margin" w:x="71" w:y="10434"/>
        <w:rPr>
          <w:rStyle w:val="C13"/>
          <w:rtl w:val="0"/>
        </w:rPr>
      </w:pPr>
      <w:r>
        <w:rPr>
          <w:rStyle w:val="C13"/>
          <w:rtl w:val="0"/>
        </w:rPr>
        <w:t>f) Připravit podklady pro alespoň jednu žádost o pohřebné včetně pohřebného pro mrtvě narozené dítě, vdovský (vdovecký), sirotčí důchod apod.</w:t>
      </w:r>
    </w:p>
    <w:p>
      <w:pPr>
        <w:pStyle w:val="P30"/>
        <w:framePr w:w="3921" w:h="831" w:hRule="exact" w:wrap="none" w:vAnchor="page" w:hAnchor="margin" w:x="6800" w:y="10378"/>
        <w:rPr>
          <w:rStyle w:val="C3"/>
          <w:rtl w:val="0"/>
        </w:rPr>
      </w:pPr>
    </w:p>
    <w:p>
      <w:pPr>
        <w:pStyle w:val="P31"/>
        <w:framePr w:w="3839" w:h="704" w:hRule="exact" w:wrap="none" w:vAnchor="page" w:hAnchor="margin" w:x="6856" w:y="10434"/>
        <w:rPr>
          <w:rStyle w:val="C22"/>
          <w:rtl w:val="0"/>
        </w:rPr>
      </w:pPr>
      <w:r>
        <w:rPr>
          <w:rStyle w:val="C22"/>
          <w:rtl w:val="0"/>
        </w:rPr>
        <w:t>Praktické předvedení</w:t>
      </w:r>
    </w:p>
    <w:p>
      <w:pPr>
        <w:pStyle w:val="P32"/>
        <w:framePr w:w="10710" w:h="248" w:hRule="exact" w:wrap="none" w:vAnchor="page" w:hAnchor="margin" w:x="28" w:y="113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Doprovázení umírajících a pozůstalých, 10.7.2026 12:48:16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orientace v oblasti lidských práv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sousloví „právo na život“, „lidská důstojnost“ a „asistovaná sebevražda"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jednání odporující právnímu řádu České republiky v oblasti pohřebnictví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způsoby ochrany osobnosti post mortem podle občanského zákoníku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postup při darování těla zemřelého anatomickému ústavu v České republice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Objasnit, kdy a za jakých okolností se v České republice provádí pitva a kdy je naopak nutné pitvu odmítnout</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Popsat postup při darování orgánů umírajícího (zemřelého) včetně přispěvku Ministerstva zdravotnictví ČR pro vypravitele pohřbu</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340" w:hRule="exact" w:wrap="none" w:vAnchor="page" w:hAnchor="margin" w:x="28" w:y="7160"/>
        <w:rPr>
          <w:rStyle w:val="C18"/>
          <w:rtl w:val="0"/>
        </w:rPr>
      </w:pPr>
      <w:r>
        <w:rPr>
          <w:rStyle w:val="C18"/>
          <w:rtl w:val="0"/>
        </w:rPr>
        <w:t>Orientace v úkonech souvisejících s poslední vůlí</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Vysvětlit možnosti a postupy sepsání platné závěti, dědické smlouvy a ústní formy závěti v souladu s dědickým právem v České republice</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b) Vysvětlit, jak dbát o řádné splnění poslední vůle zemřelého a plnění jeho pokynů s péčí řádného hospodáře</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Ústní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c) Vysvětlit možnost využití „odkazu“ pro případ smrti podle občanského zákoníku</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Ústní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d) Popsat způsob vymáhání pohledávky vypravitele za náklady pohřbu po dědicích a vysvětlit, jak zabránit jejímu promlčení</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Ústní ověření</w:t>
      </w:r>
    </w:p>
    <w:p>
      <w:pPr>
        <w:pStyle w:val="P12"/>
        <w:framePr w:w="6710" w:h="831" w:hRule="exact" w:wrap="none" w:vAnchor="page" w:hAnchor="margin" w:x="45" w:y="10403"/>
        <w:rPr>
          <w:rStyle w:val="C3"/>
          <w:rtl w:val="0"/>
        </w:rPr>
      </w:pPr>
    </w:p>
    <w:p>
      <w:pPr>
        <w:pStyle w:val="P13"/>
        <w:framePr w:w="6658" w:h="704" w:hRule="exact" w:wrap="none" w:vAnchor="page" w:hAnchor="margin" w:x="71" w:y="10459"/>
        <w:rPr>
          <w:rStyle w:val="C11"/>
          <w:rtl w:val="0"/>
        </w:rPr>
      </w:pPr>
      <w:r>
        <w:rPr>
          <w:rStyle w:val="C11"/>
          <w:rtl w:val="0"/>
        </w:rPr>
        <w:t>e) Vysvětlit rozdíl mezi řízením o dědictví a zajištěním uspořádání majetkových poměrů po smrti zůstavitele, rozlišit roli notáře jako soudního komisaře a vykonavatele závěti v České republice</w:t>
      </w:r>
    </w:p>
    <w:p>
      <w:pPr>
        <w:pStyle w:val="P28"/>
        <w:framePr w:w="3921" w:h="831" w:hRule="exact" w:wrap="none" w:vAnchor="page" w:hAnchor="margin" w:x="6800" w:y="10403"/>
        <w:rPr>
          <w:rStyle w:val="C3"/>
          <w:rtl w:val="0"/>
        </w:rPr>
      </w:pPr>
    </w:p>
    <w:p>
      <w:pPr>
        <w:pStyle w:val="P29"/>
        <w:framePr w:w="3839" w:h="704" w:hRule="exact" w:wrap="none" w:vAnchor="page" w:hAnchor="margin" w:x="6856" w:y="10459"/>
        <w:rPr>
          <w:rStyle w:val="C21"/>
          <w:rtl w:val="0"/>
        </w:rPr>
      </w:pPr>
      <w:r>
        <w:rPr>
          <w:rStyle w:val="C21"/>
          <w:rtl w:val="0"/>
        </w:rPr>
        <w:t>Ústní ověření</w:t>
      </w:r>
    </w:p>
    <w:p>
      <w:pPr>
        <w:pStyle w:val="P32"/>
        <w:framePr w:w="10710" w:h="248" w:hRule="exact" w:wrap="none" w:vAnchor="page" w:hAnchor="margin" w:x="28" w:y="113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Doprovázení umírajících a pozůstalých, 10.7.2026 12:48:16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ve vhodně upravené místnosti, aby bylo možné navodit atmosféru soukromí a klidu pro vykonání praktické části zkoušky. Formu navození modelových situací určí autorizovaná osoba (zvukový záznam, fiktivní telefonický rozhovor, účast figuranta, apod.). Figurant podle pokynů a rámcového scénáře autorizované osoby hraje roli „umírajícího" nebo „pozůstalého", figurant musí být empatický a disponovat výrazovými prostředky (herectvím) tak, aby dokázal projevit odpovídající emoce.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Sebereflexe doprovázejícího</w:t>
      </w:r>
      <w:r>
        <w:rPr>
          <w:rFonts w:ascii="Arial" w:cs="Arial" w:hAnsi="Arial" w:eastAsia="Arial"/>
          <w:b w:val="0"/>
          <w:i w:val="0"/>
          <w:caps w:val="0"/>
          <w:strike w:val="0"/>
          <w:noProof w:val="0"/>
          <w:vanish w:val="0"/>
          <w:color w:val="auto"/>
          <w:sz w:val="20"/>
          <w:u w:val="none"/>
          <w:shd w:val="clear" w:color="auto" w:fill="auto"/>
          <w:vertAlign w:val="baseline"/>
          <w:lang/>
        </w:rPr>
        <w:t xml:space="preserve"> se v kritériích hodnocení a) a b) hodnotí dovednost uchazeče vyjádřit a odůvodnit své postoje, schopnost o těchto záležitostech přemýšlet a hovořit. Nehodnotí se „legitimnost“ uvedených postojů a důvodů.</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Doprovázení pozůstalých</w:t>
      </w:r>
      <w:r>
        <w:rPr>
          <w:rFonts w:ascii="Arial" w:cs="Arial" w:hAnsi="Arial" w:eastAsia="Arial"/>
          <w:b w:val="0"/>
          <w:i w:val="0"/>
          <w:caps w:val="0"/>
          <w:strike w:val="0"/>
          <w:noProof w:val="0"/>
          <w:vanish w:val="0"/>
          <w:color w:val="auto"/>
          <w:sz w:val="20"/>
          <w:u w:val="none"/>
          <w:shd w:val="clear" w:color="auto" w:fill="auto"/>
          <w:vertAlign w:val="baseline"/>
          <w:lang/>
        </w:rPr>
        <w:t>, kritérium c) uchazeč provede základní umytí (obličeje a těla), upravení a obléknutí těla zemřelého nebo výcvikové figuríny.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Vypravování pohřbu</w:t>
      </w:r>
      <w:r>
        <w:rPr>
          <w:rFonts w:ascii="Arial" w:cs="Arial" w:hAnsi="Arial" w:eastAsia="Arial"/>
          <w:b w:val="0"/>
          <w:i w:val="0"/>
          <w:caps w:val="0"/>
          <w:strike w:val="0"/>
          <w:noProof w:val="0"/>
          <w:vanish w:val="0"/>
          <w:color w:val="auto"/>
          <w:sz w:val="20"/>
          <w:u w:val="none"/>
          <w:shd w:val="clear" w:color="auto" w:fill="auto"/>
          <w:vertAlign w:val="baseline"/>
          <w:lang/>
        </w:rPr>
        <w:t>, kritérium f) uchazeč shromáždí potřebné dokumenty, vysvětlí a předvede správné vyplnění.</w:t>
      </w:r>
    </w:p>
    <w:p>
      <w:pPr>
        <w:pStyle w:val="P33"/>
        <w:framePr w:w="10766" w:h="1837" w:hRule="exact" w:wrap="none" w:vAnchor="page" w:hAnchor="margin" w:x="0" w:y="9915"/>
        <w:rPr>
          <w:rStyle w:val="C3"/>
          <w:rtl w:val="0"/>
        </w:rPr>
      </w:pPr>
    </w:p>
    <w:p>
      <w:pPr>
        <w:pStyle w:val="P35"/>
        <w:framePr w:w="10710" w:h="340" w:hRule="exact" w:wrap="none" w:vAnchor="page" w:hAnchor="margin" w:x="28" w:y="9915"/>
        <w:rPr>
          <w:rStyle w:val="C25"/>
          <w:rtl w:val="0"/>
        </w:rPr>
      </w:pPr>
      <w:r>
        <w:rPr>
          <w:rStyle w:val="C25"/>
          <w:rtl w:val="0"/>
        </w:rPr>
        <w:t>Výsledné hodnocení</w:t>
      </w:r>
    </w:p>
    <w:p>
      <w:pPr>
        <w:keepNext w:val="0"/>
        <w:keepLines w:val="0"/>
        <w:framePr w:w="10766" w:h="1497" w:hRule="exact" w:wrap="none" w:vAnchor="page" w:hAnchor="margin" w:x="0" w:y="10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79"/>
        <w:rPr>
          <w:rStyle w:val="C3"/>
          <w:rtl w:val="0"/>
        </w:rPr>
      </w:pPr>
    </w:p>
    <w:p>
      <w:pPr>
        <w:pStyle w:val="P35"/>
        <w:framePr w:w="10710" w:h="340" w:hRule="exact" w:wrap="none" w:vAnchor="page" w:hAnchor="margin" w:x="28" w:y="11979"/>
        <w:rPr>
          <w:rStyle w:val="C25"/>
          <w:rtl w:val="0"/>
        </w:rPr>
      </w:pPr>
      <w:r>
        <w:rPr>
          <w:rStyle w:val="C25"/>
          <w:rtl w:val="0"/>
        </w:rPr>
        <w:t>Počet zkoušejících</w:t>
      </w:r>
    </w:p>
    <w:p>
      <w:pPr>
        <w:keepNext w:val="0"/>
        <w:keepLines w:val="0"/>
        <w:framePr w:w="10766" w:h="1036" w:hRule="exact" w:wrap="none" w:vAnchor="page" w:hAnchor="margin" w:x="0" w:y="12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Doprovázení umírajících a pozůstalých, 10.7.2026 12:48:16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alespoň bakalářského studijního programu a alespoň 5 let praxe v oblasti zdravotnických nebo sociálních či pohřebních služeb nebo ve funkci učitele odborných předmětů nebo učitele praktického vyučování nebo učitele odborného výcviku v oblasti zdravotnických nebo sociálních služeb.</w:t>
      </w:r>
    </w:p>
    <w:p>
      <w:pPr>
        <w:keepNext w:val="0"/>
        <w:keepLines w:val="1"/>
        <w:framePr w:w="10766" w:h="66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69-056-M Doprovázení umírajících a pozůstalých a střední vzdělání s maturitní zkouškou a alespoň 5 let praxe v oblasti zdravotnických nebo sociálních či pohřebních služeb.</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Doprovázení umírajících a pozůstalých, 10.7.2026 12:48:16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zkoušky</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umytí a oblečení zemřelého</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telefon, popř. audiovizuální technika</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(herec) v roli pozůstalého a umírajícího</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Pomocník pro manipulaci s tělem zemřelého (pomocníkem může být autorizovaná osoba nebo figurant)</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Lidské pozůstatky určené k úpravě se souhlasem pohřbu /v souladu se zákonem o pohřebnictví a občanským zákoníkem § 82 odst. 2/ nebo výcviková figurína</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 o prohlídce zemřelého</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Závěť</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věci zemřelého (mobil, diář, záznamník apod.) </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Postel</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Rubáš</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Prostěradlo</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Papírové utěrky a kapesníky</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 a studená voda, umyvadlo, WC</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potřeby (ručník, mýdlo, žinka, hřeben, holení apod.)</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Oblečení a obuv pro zemřelého nebo výcvikovou figurínu</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Rukavice</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22"/>
        <w:rPr>
          <w:rStyle w:val="C3"/>
          <w:rtl w:val="0"/>
        </w:rPr>
      </w:pPr>
    </w:p>
    <w:p>
      <w:pPr>
        <w:pStyle w:val="P35"/>
        <w:framePr w:w="10710" w:h="340" w:hRule="exact" w:wrap="none" w:vAnchor="page" w:hAnchor="margin" w:x="28" w:y="8922"/>
        <w:rPr>
          <w:rStyle w:val="C25"/>
          <w:rtl w:val="0"/>
        </w:rPr>
      </w:pPr>
      <w:r>
        <w:rPr>
          <w:rStyle w:val="C25"/>
          <w:rtl w:val="0"/>
        </w:rPr>
        <w:t>Doba přípravy na zkoušku</w:t>
      </w:r>
    </w:p>
    <w:p>
      <w:pPr>
        <w:keepNext w:val="0"/>
        <w:keepLines w:val="0"/>
        <w:framePr w:w="10766" w:h="806" w:hRule="exact" w:wrap="none" w:vAnchor="page" w:hAnchor="margin" w:x="0" w:y="9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295"/>
        <w:rPr>
          <w:rStyle w:val="C3"/>
          <w:rtl w:val="0"/>
        </w:rPr>
      </w:pPr>
    </w:p>
    <w:p>
      <w:pPr>
        <w:pStyle w:val="P35"/>
        <w:framePr w:w="10710" w:h="340" w:hRule="exact" w:wrap="none" w:vAnchor="page" w:hAnchor="margin" w:x="28" w:y="10295"/>
        <w:rPr>
          <w:rStyle w:val="C25"/>
          <w:rtl w:val="0"/>
        </w:rPr>
      </w:pPr>
      <w:r>
        <w:rPr>
          <w:rStyle w:val="C25"/>
          <w:rtl w:val="0"/>
        </w:rPr>
        <w:t>Doba pro vykonání zkoušky</w:t>
      </w:r>
    </w:p>
    <w:p>
      <w:pPr>
        <w:keepNext w:val="0"/>
        <w:keepLines w:val="0"/>
        <w:framePr w:w="10766" w:h="806" w:hRule="exact" w:wrap="none" w:vAnchor="page" w:hAnchor="margin" w:x="0" w:y="106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Doprovázení umírajících a pozůstalých, 10.7.2026 12:48:16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pohřebních služeb, Praha</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pStyle w:val="P21"/>
        <w:framePr w:w="7654" w:h="331" w:hRule="exact" w:wrap="none" w:vAnchor="page" w:hAnchor="margin" w:x="28" w:y="15940"/>
        <w:rPr>
          <w:rStyle w:val="C16"/>
          <w:rtl w:val="0"/>
        </w:rPr>
      </w:pPr>
      <w:r>
        <w:rPr>
          <w:rStyle w:val="C16"/>
          <w:rtl w:val="0"/>
        </w:rPr>
        <w:t>Doprovázení umírajících a pozůstalých, 10.7.2026 12:48:16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9F619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