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E84C9" Type="http://schemas.openxmlformats.org/officeDocument/2006/relationships/officeDocument" Target="/word/document.xml" /><Relationship Id="coreR1F7E84C9" Type="http://schemas.openxmlformats.org/package/2006/relationships/metadata/core-properties" Target="/docProps/core.xml" /><Relationship Id="customR1F7E8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https://www.nsp.cz/jednotka-prace/chovatel-zvirat-v-zoo#zdravotni-zpusobilost).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5 skupin savců: hlodavce, hmyzožravce, zajícovce a malé šelmy (fretky, mangusty, surikaty, kočky) a drobné primáty (drápkaté opice a poloopice). Pro účely praktického předvedení u kompetence „Odchyt a odborná manipulace s drobnými a středně velkými savci, transport“ stačí, aby uchazeč manipuloval se dvěma druhy savců - jedním zástupcem hlodavců (potkanem, křečkem, křečíkem, morčetem) a s jedním zástupcem zajícovců (králíkem domácím).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savců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a) bude uchazeč charakterizovat krmiva pro jednotlivé skupiny savců (hlodavce, zajícovce, hmyzožravce, malé druhy primátů a drobné šelmy) a pak bude určovat 3 vzorky krmiv pro býložravce, hmyzožravce a masožravce.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a ochrannými pomůckami,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savce a podmínky pracoviště. Důraz je třeba klást na zručnost a etiku manipulace se zvířaty (včetně krmných druhů),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s ústním ověřením se počítá s písemnou přípravou, která je započítána v době přípravy na zkoušku.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