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A9BEF" Type="http://schemas.openxmlformats.org/officeDocument/2006/relationships/officeDocument" Target="/word/document.xml" /><Relationship Id="coreR131A9BEF" Type="http://schemas.openxmlformats.org/package/2006/relationships/metadata/core-properties" Target="/docProps/core.xml" /><Relationship Id="customR131A9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elektrostatický výboj</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norem při práci elektrotechnika pro elektrostatický výboj</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23:04:22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Nakreslit a popsat jednoduchý elektrický obvod, aplikovat Ohmův zákon a Kirchhoffovy zákony, uvést základní schematické značky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principy řešení jednoduchých elektrických obvodů s odpory a kapacitami řazenými sériově a paralelně s využitím typických schémat zapojení (RC člen, nabíjecí a vybíjecí charakteristika)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910"/>
        <w:rPr>
          <w:rStyle w:val="C23"/>
          <w:rtl w:val="0"/>
        </w:rPr>
      </w:pPr>
      <w:r>
        <w:rPr>
          <w:rStyle w:val="C23"/>
          <w:rtl w:val="0"/>
        </w:rPr>
        <w:t>Je třeba splnit obě kritéria.</w:t>
      </w:r>
    </w:p>
    <w:p>
      <w:pPr>
        <w:pStyle w:val="P23"/>
        <w:framePr w:w="10710" w:h="340" w:hRule="exact" w:wrap="none" w:vAnchor="page" w:hAnchor="margin" w:x="28" w:y="6345"/>
        <w:rPr>
          <w:rStyle w:val="C18"/>
          <w:rtl w:val="0"/>
        </w:rPr>
      </w:pPr>
      <w:r>
        <w:rPr>
          <w:rStyle w:val="C18"/>
          <w:rtl w:val="0"/>
        </w:rPr>
        <w:t>Orientace v principech vzniku elektrostatického výboje a ochrany před ním</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účinky elektrostatického výboje na součástky citlivé na ESD (Elektro Static Discharge = elektrostatický výboj)</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Vysvětlit základní pojmy v ESD stanovené autorizovanou osobou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Používání technické dokumentace a norem při práci elektrotechnika pro elektrostatický výboj</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Písemné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Písemné ověření</w:t>
      </w:r>
    </w:p>
    <w:p>
      <w:pPr>
        <w:pStyle w:val="P12"/>
        <w:framePr w:w="6710" w:h="831" w:hRule="exact" w:wrap="none" w:vAnchor="page" w:hAnchor="margin" w:x="45" w:y="11705"/>
        <w:rPr>
          <w:rStyle w:val="C3"/>
          <w:rtl w:val="0"/>
        </w:rPr>
      </w:pPr>
    </w:p>
    <w:p>
      <w:pPr>
        <w:pStyle w:val="P13"/>
        <w:framePr w:w="6658" w:h="704" w:hRule="exact" w:wrap="none" w:vAnchor="page" w:hAnchor="margin" w:x="71" w:y="11761"/>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705"/>
        <w:rPr>
          <w:rStyle w:val="C3"/>
          <w:rtl w:val="0"/>
        </w:rPr>
      </w:pPr>
    </w:p>
    <w:p>
      <w:pPr>
        <w:pStyle w:val="P29"/>
        <w:framePr w:w="3839" w:h="704" w:hRule="exact" w:wrap="none" w:vAnchor="page" w:hAnchor="margin" w:x="6856" w:y="11761"/>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Vytvořit základní osnovu interního auditu, vysvětlit způsob provádění auditu, uvést jejich frekvenci a potřebnou dokumentaci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23:04:22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značky a nápisy, jejich použití pro značení součástek, obalů a vybavení v prostorech EPA (Electrostatic Discharge Protected Area = vyhrazené prostory pro práci s elektrostaticky citlivými komponenty)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jakým způsobem musí být zabezpečeno pracoviště EPA z pohledu technologického, ergonomického, logistického a BOZP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Vytvořit návrh jednoduchého pracoviště, jeho vybavení a vybavení osob podle zadání, vč. požadovaných hodnot na uzemnění; návrh musí obsahovat i řešení vstupu osob a materiálu na pracoviště EPA a základní instrukce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EPA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EPA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navrhnout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23:04:22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"https://www.nsp.cz/jednotka-prace/samostatny-elektrotechnik-3916"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https://www.nsp.cz/jednotka-prace/samostatny-elektrotechnik-3916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23:04:22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23:04:22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 řady ČSN EN 61340, v platném znění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 (EPA pracoviště)</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EPA pracoviště vybavené podlahou, pracovní plochou, židlí, uzemňovací svorkou, pokud možno s nevyhovujícími parametry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EPA pracoviště, zadání jednoduchého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51"/>
        <w:rPr>
          <w:rStyle w:val="C3"/>
          <w:rtl w:val="0"/>
        </w:rPr>
      </w:pPr>
    </w:p>
    <w:p>
      <w:pPr>
        <w:pStyle w:val="P35"/>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724"/>
        <w:rPr>
          <w:rStyle w:val="C3"/>
          <w:rtl w:val="0"/>
        </w:rPr>
      </w:pPr>
    </w:p>
    <w:p>
      <w:pPr>
        <w:pStyle w:val="P35"/>
        <w:framePr w:w="10710" w:h="340" w:hRule="exact" w:wrap="none" w:vAnchor="page" w:hAnchor="margin" w:x="28" w:y="9724"/>
        <w:rPr>
          <w:rStyle w:val="C25"/>
          <w:rtl w:val="0"/>
        </w:rPr>
      </w:pPr>
      <w:r>
        <w:rPr>
          <w:rStyle w:val="C25"/>
          <w:rtl w:val="0"/>
        </w:rPr>
        <w:t>Doba pro vykonání zkoušky</w:t>
      </w:r>
    </w:p>
    <w:p>
      <w:pPr>
        <w:keepNext w:val="0"/>
        <w:keepLines w:val="0"/>
        <w:framePr w:w="10766" w:h="103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 toho doba trvání písemné části zkoušky jednoho uchazeče je 60 minut. Zkouška může být rozdělena do více dnů.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23:04:22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23:04:22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839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076E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