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52FBE" Type="http://schemas.openxmlformats.org/officeDocument/2006/relationships/officeDocument" Target="/word/document.xml" /><Relationship Id="coreR17D52FBE" Type="http://schemas.openxmlformats.org/package/2006/relationships/metadata/core-properties" Target="/docProps/core.xml" /><Relationship Id="customR17D52F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264" w:hRule="exact" w:wrap="none" w:vAnchor="page" w:hAnchor="margin" w:x="0" w:y="9427"/>
        <w:rPr>
          <w:rStyle w:val="C3"/>
          <w:rtl w:val="0"/>
        </w:rPr>
      </w:pPr>
    </w:p>
    <w:p>
      <w:pPr>
        <w:pStyle w:val="P35"/>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Specialista/specialistka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Specialista/specialistka v oblasti environmentální výchovy, 3letá praxe v oblasti DVPP na základě vyhlášky č. 317/2005 Sb. se zaměřením na EVVO odpovídající aktuálnímu obsahu příslušné profesní kvalifikace.</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Specialista/specialistka v oblasti environmentální výchovy, 22.10.2026 8:29:19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519F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8012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F9F1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