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94B15D" Type="http://schemas.openxmlformats.org/officeDocument/2006/relationships/officeDocument" Target="/word/document.xml" /><Relationship Id="coreR2194B15D" Type="http://schemas.openxmlformats.org/package/2006/relationships/metadata/core-properties" Target="/docProps/core.xml" /><Relationship Id="customR2194B1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Líhňař, 30.9.2026 6:44:12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 nebo ho provést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Zkontrolovat úspěšnost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Expedovat raná stadia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30.9.2026 6:44:12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Posoudit kvalitu vody v líhni v zadané fázi technologického procesu na základě jednoduchého chemického rozboru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údržbu filtračních zařízení a zařízení v recirkulačních systémech za účelem optimalizace kvality vody v líhni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30.9.2026 6:44:12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Líhňař, 30.9.2026 6:44:12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líhňař, střední vzdělání s maturitní zkouškou a alespoň 10 let odborné praxe v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Líhňař, 30.9.2026 6:44:12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Rybochovná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Rybí líhně</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generační ryby (př. kapr), mlíčí, neoplozené jikry, oplozené jikry, váčkový plůdek, krmený plůdek (kapra nebo jiných druhů chovaných v řízených podmínkách)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zařízení, pomůcky – výtěrový list, výtěrové hnízdo pro candáta,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Líhňař, 30.9.2026 6:44:12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Líhňař, 30.9.2026 6:44:12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