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32EC99" Type="http://schemas.openxmlformats.org/officeDocument/2006/relationships/officeDocument" Target="/word/document.xml" /><Relationship Id="coreR5132EC99" Type="http://schemas.openxmlformats.org/package/2006/relationships/metadata/core-properties" Target="/docProps/core.xml" /><Relationship Id="customR5132EC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Líhňař (kód: 41-012-H)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evidence o chovu a reprodukci ryb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umělých a poloumělých výtěrů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Odchov raných stádií plůdku na líhni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Praktická realizace plemenářské práce v chovu ryb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zooveterinárních opatření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zařízení rybích líhní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Líhňař, 20.10.2026 9:42:14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hygieny, jakož i ke kvalitě předváděných operací. Přitom je nutno posuzovat nejen dosažený výsledek, ale i samostatnost při rozhodování o nejvhodnějším postupu řešení zadaného úkolu podle daných podmínek pracoviště. Důraz je třeba klást na šetrnou manipulaci s rybami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Líhňař, 20.10.2026 9:42:14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VOŠ vodního hospodářství a ekologie Vodňany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Líhňař, 20.10.2026 9:42:14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