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2F09EC" Type="http://schemas.openxmlformats.org/officeDocument/2006/relationships/officeDocument" Target="/word/document.xml" /><Relationship Id="coreR792F09EC" Type="http://schemas.openxmlformats.org/package/2006/relationships/metadata/core-properties" Target="/docProps/core.xml" /><Relationship Id="customR792F09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hnacích agregátů nákladních vozidel a autobusů (kód: 23-093-H)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funkci vznětového spalovacího motoru a příslušenství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pravidelné údržby vznětových motorů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vznětového motoru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příslušenství vozidla poháněné motorem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systému řízení motoru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hnacích agregátů nákladních vozidel a autobusů, 11.7.2026 1:01:18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Popsat zdrojovou soustavu</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 konstrukci a funkci vznětového spalovacího motoru a příslušenství</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princip činnosti a konstrukci vznětových motorů</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hlavní části vznětových motorů</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Písemné ověření</w:t>
      </w:r>
    </w:p>
    <w:p>
      <w:pPr>
        <w:pStyle w:val="P12"/>
        <w:framePr w:w="6710" w:h="607" w:hRule="exact" w:wrap="none" w:vAnchor="page" w:hAnchor="margin" w:x="45" w:y="14205"/>
        <w:rPr>
          <w:rStyle w:val="C3"/>
          <w:rtl w:val="0"/>
        </w:rPr>
      </w:pPr>
    </w:p>
    <w:p>
      <w:pPr>
        <w:pStyle w:val="P13"/>
        <w:framePr w:w="6658" w:h="480" w:hRule="exact" w:wrap="none" w:vAnchor="page" w:hAnchor="margin" w:x="71" w:y="14261"/>
        <w:rPr>
          <w:rStyle w:val="C11"/>
          <w:rtl w:val="0"/>
        </w:rPr>
      </w:pPr>
      <w:r>
        <w:rPr>
          <w:rStyle w:val="C11"/>
          <w:rtl w:val="0"/>
        </w:rPr>
        <w:t>c) Orientovat se v mazací, chladicí a palivové soustavě vznětového motoru včetně systému přívodu vzduchu do motoru</w:t>
      </w:r>
    </w:p>
    <w:p>
      <w:pPr>
        <w:pStyle w:val="P28"/>
        <w:framePr w:w="3921" w:h="607" w:hRule="exact" w:wrap="none" w:vAnchor="page" w:hAnchor="margin" w:x="6800" w:y="14205"/>
        <w:rPr>
          <w:rStyle w:val="C3"/>
          <w:rtl w:val="0"/>
        </w:rPr>
      </w:pPr>
    </w:p>
    <w:p>
      <w:pPr>
        <w:pStyle w:val="P29"/>
        <w:framePr w:w="3839" w:h="480" w:hRule="exact" w:wrap="none" w:vAnchor="page" w:hAnchor="margin" w:x="6856" w:y="14261"/>
        <w:rPr>
          <w:rStyle w:val="C21"/>
          <w:rtl w:val="0"/>
        </w:rPr>
      </w:pPr>
      <w:r>
        <w:rPr>
          <w:rStyle w:val="C21"/>
          <w:rtl w:val="0"/>
        </w:rPr>
        <w:t>Písemné ověření</w:t>
      </w:r>
    </w:p>
    <w:p>
      <w:pPr>
        <w:pStyle w:val="P16"/>
        <w:framePr w:w="6710" w:h="376" w:hRule="exact" w:wrap="none" w:vAnchor="page" w:hAnchor="margin" w:x="45" w:y="14812"/>
        <w:rPr>
          <w:rStyle w:val="C3"/>
          <w:rtl w:val="0"/>
        </w:rPr>
      </w:pPr>
    </w:p>
    <w:p>
      <w:pPr>
        <w:pStyle w:val="P17"/>
        <w:framePr w:w="6658" w:h="249" w:hRule="exact" w:wrap="none" w:vAnchor="page" w:hAnchor="margin" w:x="71" w:y="14868"/>
        <w:rPr>
          <w:rStyle w:val="C13"/>
          <w:rtl w:val="0"/>
        </w:rPr>
      </w:pPr>
      <w:r>
        <w:rPr>
          <w:rStyle w:val="C13"/>
          <w:rtl w:val="0"/>
        </w:rPr>
        <w:t>d) Popsat systémy pro snižování škodlivých emisí</w:t>
      </w:r>
    </w:p>
    <w:p>
      <w:pPr>
        <w:pStyle w:val="P30"/>
        <w:framePr w:w="3921" w:h="376" w:hRule="exact" w:wrap="none" w:vAnchor="page" w:hAnchor="margin" w:x="6800" w:y="14812"/>
        <w:rPr>
          <w:rStyle w:val="C3"/>
          <w:rtl w:val="0"/>
        </w:rPr>
      </w:pPr>
    </w:p>
    <w:p>
      <w:pPr>
        <w:pStyle w:val="P31"/>
        <w:framePr w:w="3839" w:h="249" w:hRule="exact" w:wrap="none" w:vAnchor="page" w:hAnchor="margin" w:x="6856" w:y="14868"/>
        <w:rPr>
          <w:rStyle w:val="C22"/>
          <w:rtl w:val="0"/>
        </w:rPr>
      </w:pPr>
      <w:r>
        <w:rPr>
          <w:rStyle w:val="C22"/>
          <w:rtl w:val="0"/>
        </w:rPr>
        <w:t>Písemné ověření</w:t>
      </w:r>
    </w:p>
    <w:p>
      <w:pPr>
        <w:pStyle w:val="P32"/>
        <w:framePr w:w="10710" w:h="248" w:hRule="exact" w:wrap="none" w:vAnchor="page" w:hAnchor="margin" w:x="28" w:y="15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11.7.2026 1:01:18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vznětových motorů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systému údržby hnacích agregátů (interval údržby a kategorie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autorizovanou osobou vybrané úkony servisní prohlídky hnacích agregátů se zaměřením na palivovou, mazací a chladicí soustavu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základní úkony s diagnostickým zařízením (vyčtení paměti závad)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vznětového motoru a příslušenství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Provést kontrolu a výměnu autorizovanou osobou určené hlavní části vznětového motoru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ústním zdůvodněním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kontrolu mazací soustavy a výměnu autorizovanou osobou určené části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 ústním zdůvodněním</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kontrolu a výměnu autorizovanou osobou určené hlavní části palivové soustavy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 ústním zdůvodněním</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turbodmychadla včetně kalibrace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 ústním zdůvodněním</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e) Provést kontrolu systému přívodu vzduchu a výměnu autorizovanou osobou určené části</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s ústním zdůvodněním</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f) Provést kontrolu a výměnu hlavních částí chladicí soustavy včetně odvzdušnění soustavy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s ústním zdůvodněním</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g) Provést diagnostiku a výměnu autorizovanou osobou určené hlavní části systému pro snižování škodlivých emisí</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Praktické předvedení s ústním zdůvodněním</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9"/>
        <w:rPr>
          <w:rStyle w:val="C18"/>
          <w:rtl w:val="0"/>
        </w:rPr>
      </w:pPr>
      <w:r>
        <w:rPr>
          <w:rStyle w:val="C18"/>
          <w:rtl w:val="0"/>
        </w:rPr>
        <w:t>Diagnostika a oprava příslušenství vozidla poháněné motorem</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a) Provést diagnostiku autorizovanou osobou určeného příslušenství a určit vadné díly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s ústním zdůvodněním</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b) Provést výměnu vadných dílů autorizovanou osobou určeného příslušenství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 s ústním zdůvodněním</w:t>
      </w:r>
    </w:p>
    <w:p>
      <w:pPr>
        <w:pStyle w:val="P32"/>
        <w:framePr w:w="10710" w:h="248" w:hRule="exact" w:wrap="none" w:vAnchor="page" w:hAnchor="margin" w:x="28" w:y="137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11.7.2026 1:01:18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systému řízení motoru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systému řízení motoru včetně analýzy výsledků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systému pro snižování škodlivých emisí včetně analýzy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správné funkce motoru a ostatních systémů vozidla zkušební jízdou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11.7.2026 1:01:18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vznětového motoru a příslušenství.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za hlavní část lze považovat klikový hřídel, píst, blok, hlavu atd., před úkonem je motor vymontován z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 výměna termostatu, expanzní nádoby, ventilů nebo kohoutů</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 katalyzátory, výfukové systémy, filtry pevných částic, systémy s močovinou čerpadla, slučovače, dávkovače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příslušenství vozidla poháněné motorem, kritéria a), b) - spouštěč, alternátor, vzduchový kompresor, čerpadlo, posilovače řízení atd.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systému řízení motoru, kritéria a), b) - bude připraveno vozidlo s provozní závadou, případně simulovanou závadou</w:t>
      </w:r>
    </w:p>
    <w:p>
      <w:pPr>
        <w:pStyle w:val="P21"/>
        <w:framePr w:w="7654" w:h="331" w:hRule="exact" w:wrap="none" w:vAnchor="page" w:hAnchor="margin" w:x="28" w:y="15940"/>
        <w:rPr>
          <w:rStyle w:val="C16"/>
          <w:rtl w:val="0"/>
        </w:rPr>
      </w:pPr>
      <w:r>
        <w:rPr>
          <w:rStyle w:val="C16"/>
          <w:rtl w:val="0"/>
        </w:rPr>
        <w:t>Mechanik/mechanička hnacích agregátů nákladních vozidel a autobusů, 11.7.2026 1:01:18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hnacích agregátů nákladních vozidel a autobusů, 11.7.2026 1:01:18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splňující minimálně Euro 4</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nákladního vozidla nebo autobusu ve stojanu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hnacích agregátů nákladních vozidel a autobusů, 11.7.2026 1:01:18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hnacích agregátů nákladních vozidel a autobusů, 11.7.2026 1:01:18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9E4EE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8AFF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DBFF0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9923F8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