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C38C2A" Type="http://schemas.openxmlformats.org/officeDocument/2006/relationships/officeDocument" Target="/word/document.xml" /><Relationship Id="coreR27C38C2A" Type="http://schemas.openxmlformats.org/package/2006/relationships/metadata/core-properties" Target="/docProps/core.xml" /><Relationship Id="customR27C38C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hnacích agregátů nákladních vozidel a autobusů (kód: 23-093-H)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a funkci vznětového spalovacího motoru a příslušenství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pravidelné údržby vznětových motorů nákladních vozidel a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vznětového motoru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příslušenství vozidla poháněné motorem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systému řízení motoru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hnacích agregátů nákladních vozidel a autobusů, 31.7.2026 15:58:37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Popsat zdrojovou soustavu</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 konstrukci a funkci vznětového spalovacího motoru a příslušenství</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princip činnosti a konstrukci vznětových motorů</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hlavní části vznětových motorů</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607" w:hRule="exact" w:wrap="none" w:vAnchor="page" w:hAnchor="margin" w:x="45" w:y="14205"/>
        <w:rPr>
          <w:rStyle w:val="C3"/>
          <w:rtl w:val="0"/>
        </w:rPr>
      </w:pPr>
    </w:p>
    <w:p>
      <w:pPr>
        <w:pStyle w:val="P13"/>
        <w:framePr w:w="6658" w:h="480" w:hRule="exact" w:wrap="none" w:vAnchor="page" w:hAnchor="margin" w:x="71" w:y="14261"/>
        <w:rPr>
          <w:rStyle w:val="C11"/>
          <w:rtl w:val="0"/>
        </w:rPr>
      </w:pPr>
      <w:r>
        <w:rPr>
          <w:rStyle w:val="C11"/>
          <w:rtl w:val="0"/>
        </w:rPr>
        <w:t>c) Orientovat se v mazací, chladicí a palivové soustavě vznětového motoru včetně systému přívodu vzduchu do motoru</w:t>
      </w:r>
    </w:p>
    <w:p>
      <w:pPr>
        <w:pStyle w:val="P28"/>
        <w:framePr w:w="3921" w:h="607" w:hRule="exact" w:wrap="none" w:vAnchor="page" w:hAnchor="margin" w:x="6800" w:y="14205"/>
        <w:rPr>
          <w:rStyle w:val="C3"/>
          <w:rtl w:val="0"/>
        </w:rPr>
      </w:pPr>
    </w:p>
    <w:p>
      <w:pPr>
        <w:pStyle w:val="P29"/>
        <w:framePr w:w="3839" w:h="480" w:hRule="exact" w:wrap="none" w:vAnchor="page" w:hAnchor="margin" w:x="6856" w:y="14261"/>
        <w:rPr>
          <w:rStyle w:val="C21"/>
          <w:rtl w:val="0"/>
        </w:rPr>
      </w:pPr>
      <w:r>
        <w:rPr>
          <w:rStyle w:val="C21"/>
          <w:rtl w:val="0"/>
        </w:rPr>
        <w:t>Písemné ověření</w:t>
      </w:r>
    </w:p>
    <w:p>
      <w:pPr>
        <w:pStyle w:val="P16"/>
        <w:framePr w:w="6710" w:h="376" w:hRule="exact" w:wrap="none" w:vAnchor="page" w:hAnchor="margin" w:x="45" w:y="14812"/>
        <w:rPr>
          <w:rStyle w:val="C3"/>
          <w:rtl w:val="0"/>
        </w:rPr>
      </w:pPr>
    </w:p>
    <w:p>
      <w:pPr>
        <w:pStyle w:val="P17"/>
        <w:framePr w:w="6658" w:h="249" w:hRule="exact" w:wrap="none" w:vAnchor="page" w:hAnchor="margin" w:x="71" w:y="14868"/>
        <w:rPr>
          <w:rStyle w:val="C13"/>
          <w:rtl w:val="0"/>
        </w:rPr>
      </w:pPr>
      <w:r>
        <w:rPr>
          <w:rStyle w:val="C13"/>
          <w:rtl w:val="0"/>
        </w:rPr>
        <w:t>d) Popsat systémy pro snižování škodlivých emisí</w:t>
      </w:r>
    </w:p>
    <w:p>
      <w:pPr>
        <w:pStyle w:val="P30"/>
        <w:framePr w:w="3921" w:h="376" w:hRule="exact" w:wrap="none" w:vAnchor="page" w:hAnchor="margin" w:x="6800" w:y="14812"/>
        <w:rPr>
          <w:rStyle w:val="C3"/>
          <w:rtl w:val="0"/>
        </w:rPr>
      </w:pPr>
    </w:p>
    <w:p>
      <w:pPr>
        <w:pStyle w:val="P31"/>
        <w:framePr w:w="3839" w:h="249" w:hRule="exact" w:wrap="none" w:vAnchor="page" w:hAnchor="margin" w:x="6856" w:y="14868"/>
        <w:rPr>
          <w:rStyle w:val="C22"/>
          <w:rtl w:val="0"/>
        </w:rPr>
      </w:pPr>
      <w:r>
        <w:rPr>
          <w:rStyle w:val="C22"/>
          <w:rtl w:val="0"/>
        </w:rPr>
        <w:t>Písemné ověření</w:t>
      </w:r>
    </w:p>
    <w:p>
      <w:pPr>
        <w:pStyle w:val="P32"/>
        <w:framePr w:w="10710" w:h="248" w:hRule="exact" w:wrap="none" w:vAnchor="page" w:hAnchor="margin" w:x="28" w:y="15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nákladních vozidel a autobusů, 31.7.2026 15:58:37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pravidelné údržby vznětových motorů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systému údržby hnacích agregátů (interval údržby a kategorie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Vyhledat v technické dokumentaci rozsah autorizovanou osobou určené servisní prohlídky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autorizovanou osobou vybrané úkony servisní prohlídky hnacích agregátů se zaměřením na palivovou, mazací a chladicí soustavu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základní úkony s diagnostickým zařízením (vyčtení paměti závad)</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zdůvodněním</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vznětového motoru a příslušenství</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Provést kontrolu a výměnu autorizovanou osobou určené hlavní části vznětového motoru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kontrolu mazací soustavy a výměnu autorizovanou osobou určené části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 ústním zdůvodněním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kontrolu a výměnu autorizovanou osobou určené hlavní části palivové soustavy</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 ústním zdůvodněním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Provést kontrolu turbodmychadla včetně kalibrace</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 ústním zdůvodněním</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e) Provést kontrolu systému přívodu vzduchu a výměnu autorizovanou osobou určené části</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s ústním zdůvodněním</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f) Provést kontrolu a výměnu hlavních částí chladicí soustavy včetně odvzdušnění soustavy</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s ústním zdůvodněním</w:t>
      </w:r>
    </w:p>
    <w:p>
      <w:pPr>
        <w:pStyle w:val="P12"/>
        <w:framePr w:w="6710" w:h="607" w:hRule="exact" w:wrap="none" w:vAnchor="page" w:hAnchor="margin" w:x="45" w:y="10403"/>
        <w:rPr>
          <w:rStyle w:val="C3"/>
          <w:rtl w:val="0"/>
        </w:rPr>
      </w:pPr>
    </w:p>
    <w:p>
      <w:pPr>
        <w:pStyle w:val="P13"/>
        <w:framePr w:w="6658" w:h="480" w:hRule="exact" w:wrap="none" w:vAnchor="page" w:hAnchor="margin" w:x="71" w:y="10459"/>
        <w:rPr>
          <w:rStyle w:val="C11"/>
          <w:rtl w:val="0"/>
        </w:rPr>
      </w:pPr>
      <w:r>
        <w:rPr>
          <w:rStyle w:val="C11"/>
          <w:rtl w:val="0"/>
        </w:rPr>
        <w:t>g) Provést diagnostiku a výměnu autorizovanou osobou určené hlavní části systému pro snižování škodlivých emisí</w:t>
      </w:r>
    </w:p>
    <w:p>
      <w:pPr>
        <w:pStyle w:val="P28"/>
        <w:framePr w:w="3921" w:h="607" w:hRule="exact" w:wrap="none" w:vAnchor="page" w:hAnchor="margin" w:x="6800" w:y="10403"/>
        <w:rPr>
          <w:rStyle w:val="C3"/>
          <w:rtl w:val="0"/>
        </w:rPr>
      </w:pPr>
    </w:p>
    <w:p>
      <w:pPr>
        <w:pStyle w:val="P29"/>
        <w:framePr w:w="3839" w:h="480" w:hRule="exact" w:wrap="none" w:vAnchor="page" w:hAnchor="margin" w:x="6856" w:y="10459"/>
        <w:rPr>
          <w:rStyle w:val="C21"/>
          <w:rtl w:val="0"/>
        </w:rPr>
      </w:pPr>
      <w:r>
        <w:rPr>
          <w:rStyle w:val="C21"/>
          <w:rtl w:val="0"/>
        </w:rPr>
        <w:t>Praktické předvedení s ústním zdůvodněním</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340" w:hRule="exact" w:wrap="none" w:vAnchor="page" w:hAnchor="margin" w:x="28" w:y="11559"/>
        <w:rPr>
          <w:rStyle w:val="C18"/>
          <w:rtl w:val="0"/>
        </w:rPr>
      </w:pPr>
      <w:r>
        <w:rPr>
          <w:rStyle w:val="C18"/>
          <w:rtl w:val="0"/>
        </w:rPr>
        <w:t>Diagnostika a oprava příslušenství vozidla poháněné motorem</w:t>
      </w:r>
    </w:p>
    <w:p>
      <w:pPr>
        <w:pStyle w:val="P24"/>
        <w:framePr w:w="6713" w:h="376" w:hRule="exact" w:wrap="none" w:vAnchor="page" w:hAnchor="margin" w:x="45" w:y="11998"/>
        <w:rPr>
          <w:rStyle w:val="C3"/>
          <w:rtl w:val="0"/>
        </w:rPr>
      </w:pPr>
    </w:p>
    <w:p>
      <w:pPr>
        <w:pStyle w:val="P25"/>
        <w:framePr w:w="6661" w:h="249" w:hRule="exact" w:wrap="none" w:vAnchor="page" w:hAnchor="margin" w:x="71" w:y="12069"/>
        <w:rPr>
          <w:rStyle w:val="C19"/>
          <w:rtl w:val="0"/>
        </w:rPr>
      </w:pPr>
      <w:r>
        <w:rPr>
          <w:rStyle w:val="C19"/>
          <w:rtl w:val="0"/>
        </w:rPr>
        <w:t>Kritéria hodnocení</w:t>
      </w:r>
    </w:p>
    <w:p>
      <w:pPr>
        <w:pStyle w:val="P26"/>
        <w:framePr w:w="3918" w:h="376" w:hRule="exact" w:wrap="none" w:vAnchor="page" w:hAnchor="margin" w:x="6803" w:y="11998"/>
        <w:rPr>
          <w:rStyle w:val="C3"/>
          <w:rtl w:val="0"/>
        </w:rPr>
      </w:pPr>
    </w:p>
    <w:p>
      <w:pPr>
        <w:pStyle w:val="P27"/>
        <w:framePr w:w="3836" w:h="249" w:hRule="exact" w:wrap="none" w:vAnchor="page" w:hAnchor="margin" w:x="6859" w:y="12069"/>
        <w:rPr>
          <w:rStyle w:val="C20"/>
          <w:rtl w:val="0"/>
        </w:rPr>
      </w:pPr>
      <w:r>
        <w:rPr>
          <w:rStyle w:val="C20"/>
          <w:rtl w:val="0"/>
        </w:rPr>
        <w:t>Způsoby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a) Provést diagnostiku autorizovanou osobou určeného příslušenství a určit vadné díly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s ústním zdůvodněním</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b) Provést výměnu vadných dílů autorizovanou osobou určeného příslušenství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 s ústním zdůvodněním</w:t>
      </w:r>
    </w:p>
    <w:p>
      <w:pPr>
        <w:pStyle w:val="P32"/>
        <w:framePr w:w="10710" w:h="248" w:hRule="exact" w:wrap="none" w:vAnchor="page" w:hAnchor="margin" w:x="28" w:y="137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hnacích agregátů nákladních vozidel a autobusů, 31.7.2026 15:58:37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systému řízení motoru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systému řízení motoru včetně analýzy výsledků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systému pro snižování škodlivých emisí včetně analýzy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správné funkce motoru a ostatních systémů vozidla zkušební jízdou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hnacích agregátů nákladních vozidel a autobusů, 31.7.2026 15:58:37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endokrinní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degenerativní a zánětlivá onemocnění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•Nemoci cév a nervů horních končetin</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endokrinní onemocnění včetně diabetes mellitus</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psychosomatická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•Drogová závislost v anamnéze</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•Epilepsie a jiná záchvatová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nervová onemocnění</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1"/>
        <w:framePr w:w="10766" w:h="1264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prokrvení končetin</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•Raynaudův syndrom</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cév a nervů horních končetin</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závažné poruchy vidění</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onemocnění pohybového systému, znemožňující zátěž páteře a trupu</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•Prognosticky závažná chronická onemocnění pohybového systému, zamezující práci ve vynucené poloze</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1"/>
        <w:framePr w:w="10766" w:h="12643"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 nebo „D“.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vznětového motoru a příslušenství.</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za hlavní část lze považovat klikový hřídel, píst, blok, hlavu atd., před úkonem je motor vymontován z vozidla</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 výměna termostatu, expanzní nádoby, ventilů nebo kohoutů</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 katalyzátory, výfukové systémy, filtry pevných částic, systémy s močovinou čerpadla, slučovače, dávkovače</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příslušenství vozidla poháněné motorem, kritéria a), b) - spouštěč, alternátor, vzduchový kompresor, čerpadlo, posilovače řízení atd.</w:t>
      </w:r>
    </w:p>
    <w:p>
      <w:pPr>
        <w:keepNext w:val="0"/>
        <w:keepLines w:val="0"/>
        <w:framePr w:w="10766" w:h="126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systému řízení motoru, kritéria a), b) - bude připraveno vozidlo s provozní závadou, případně simulovanou závadou</w:t>
      </w:r>
    </w:p>
    <w:p>
      <w:pPr>
        <w:pStyle w:val="P21"/>
        <w:framePr w:w="7654" w:h="331" w:hRule="exact" w:wrap="none" w:vAnchor="page" w:hAnchor="margin" w:x="28" w:y="15940"/>
        <w:rPr>
          <w:rStyle w:val="C16"/>
          <w:rtl w:val="0"/>
        </w:rPr>
      </w:pPr>
      <w:r>
        <w:rPr>
          <w:rStyle w:val="C16"/>
          <w:rtl w:val="0"/>
        </w:rPr>
        <w:t>Mechanik hnacích agregátů nákladních vozidel a autobusů, 31.7.2026 15:58:37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121"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nákladních vozidel a autobusů, odpovídající aktuálnímu obsahu příslušné profesní kvalifikace. </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1"/>
        <w:framePr w:w="10766" w:h="7574"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nákladních vozidel a autobusů, odpovídající aktuálnímu obsahu příslušné profesní kvalifikace.</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hnacích agregátů nákladních vozidel a autobusů, 31.7.2026 15:58:37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splňující minimálně Euro 4</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motor nákladního vozidla nebo autobusu ve stojanu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806"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hnacích agregátů nákladních vozidel a autobusů, 31.7.2026 15:58:37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 hnacích agregátů nákladních vozidel a autobusů, 31.7.2026 15:58:37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89F65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5C5F8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76FAE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A099F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