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82BEEA" Type="http://schemas.openxmlformats.org/officeDocument/2006/relationships/officeDocument" Target="/word/document.xml" /><Relationship Id="coreR7982BEEA" Type="http://schemas.openxmlformats.org/package/2006/relationships/metadata/core-properties" Target="/docProps/core.xml" /><Relationship Id="customR7982BE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vnitřních částech a systémech kabiny a karosérie nákladních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vnitřních částech a systémech karosérie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elektrické instalace nákladních vozidel a autobusů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vnitřních částí a systémů kabiny a karosérie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Diagnostika, údržba a oprava systému topení, větrání a klimatizace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ovládacích, informačních a bezpečnostních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montáži doplňkového zařízení a příslušenství kabiny a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08.01.2024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7.11.2026 17:55:21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https://www.nsp.cz/jednotka-prace/mechanik-opravar-motorovy#zdravotni-zpusobilost).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elektrické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všechna kritéria bude připraveno vozidlo se závadou, případně simulovanou závadou elektroinstalace kabiny nákladního vozidla nebo karoserie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systému topení, větrání a klimatizace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bude připraveno vozidlo se závadou, případně simulovanou závadou cirkulace vzduchu.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ovládacích, informačních a bezpečnostních systémů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c) bude připraveno vozidlo se závadou, případně simulovanou závadou ovládacích, informačních a bezpečnostních systémů.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silničních motorových vozidel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jedná se o díl kabiny nebo karoserie nákladního vozidla nebo autobusu a kritérium c) jedná se o díl kabiny nebo karoserie nákladního vozidla nebo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7.11.2026 17:55:21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7.11.2026 17:55:21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D3C3A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