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1190F4" Type="http://schemas.openxmlformats.org/officeDocument/2006/relationships/officeDocument" Target="/word/document.xml" /><Relationship Id="coreR2C1190F4" Type="http://schemas.openxmlformats.org/package/2006/relationships/metadata/core-properties" Target="/docProps/core.xml" /><Relationship Id="customR2C1190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vnitřních částech a systémech kabiny a karosérie nákladních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vnitřních částech a systémech karosérie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elektrické instalace nákladních vozidel a autobusů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vnitřních částí a systémů kabiny a karosérie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Diagnostika, údržba a oprava systému topení, větrání a klimatizace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ovládacích, informačních a bezpečnostních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montáži doplňkového zařízení a příslušenství kabiny a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18.10.2026 20:37:02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http://katalog.nsp.cz/karta_tp.aspx?id_jp=30741&amp;kod_sm1=37).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elektrické instalace: - pro všechna kritéria bude připraveno vozidlo se závadou, případně simulovanou závadou elektroinstalace kabiny nákladního vozidla nebo karoserie autobusu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Diagnostika, údržba a oprava systému topení, větrání a klimatizace: b) - bude připraveno vozidlo se závadou, případně simulovanou závadou cirkulace vzduchu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ovládacích, informačních a bezpečnostních systémů: a), c) - bude připraveno vozidlo se závadou, případně simulovanou závadou ovládacích, informačních a bezpečnostních systémů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silničních motorových vozidel: b) jedná se o díl kabiny nebo karoserie nákladního vozidla nebo autobusu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jedná se o díl kabiny nebo karoserie nákladního vozidla nebo autobusu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18.10.2026 20:37:02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18.10.2026 20:37:02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